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3198" w14:textId="77777777" w:rsidR="0061572D" w:rsidRPr="009E68F2" w:rsidRDefault="0061572D" w:rsidP="0061572D">
      <w:pPr>
        <w:spacing w:after="0"/>
        <w:rPr>
          <w:rFonts w:ascii="Arial Black" w:eastAsia="Times New Roman" w:hAnsi="Arial Black" w:cstheme="minorHAnsi"/>
          <w:lang w:eastAsia="en-GB"/>
        </w:rPr>
      </w:pPr>
      <w:bookmarkStart w:id="0" w:name="_GoBack"/>
      <w:bookmarkEnd w:id="0"/>
      <w:r w:rsidRPr="009E68F2">
        <w:rPr>
          <w:rFonts w:ascii="Arial Black" w:eastAsia="Times New Roman" w:hAnsi="Arial Black" w:cstheme="minorHAnsi"/>
          <w:b/>
          <w:lang w:eastAsia="en-GB"/>
        </w:rPr>
        <w:t>STATEMENT OF ACCOUNTING POLICIES</w:t>
      </w:r>
    </w:p>
    <w:p w14:paraId="342C642B" w14:textId="77777777" w:rsidR="0061572D" w:rsidRPr="009E68F2" w:rsidRDefault="0061572D" w:rsidP="0061572D">
      <w:pPr>
        <w:spacing w:after="0"/>
        <w:rPr>
          <w:rFonts w:eastAsia="Times New Roman" w:cstheme="minorHAnsi"/>
          <w:sz w:val="20"/>
          <w:szCs w:val="20"/>
          <w:lang w:eastAsia="en-GB"/>
        </w:rPr>
      </w:pPr>
    </w:p>
    <w:p w14:paraId="260B9832" w14:textId="77777777" w:rsidR="0061572D" w:rsidRPr="00AD2CD5" w:rsidRDefault="0061572D" w:rsidP="0061572D">
      <w:pPr>
        <w:spacing w:after="0"/>
        <w:rPr>
          <w:rFonts w:ascii="Arial" w:eastAsia="Times New Roman" w:hAnsi="Arial" w:cs="Arial"/>
          <w:sz w:val="20"/>
          <w:szCs w:val="20"/>
          <w:lang w:eastAsia="en-GB"/>
        </w:rPr>
      </w:pPr>
      <w:r w:rsidRPr="00AD2CD5">
        <w:rPr>
          <w:rFonts w:ascii="Arial" w:eastAsia="Times New Roman" w:hAnsi="Arial" w:cs="Arial"/>
          <w:b/>
          <w:sz w:val="20"/>
          <w:szCs w:val="20"/>
          <w:lang w:eastAsia="en-GB"/>
        </w:rPr>
        <w:t>STATEMENT OF ACCOUNTING POLICIES</w:t>
      </w:r>
    </w:p>
    <w:p w14:paraId="25DA7016" w14:textId="77777777" w:rsidR="0061572D" w:rsidRPr="00AD2CD5" w:rsidRDefault="0061572D" w:rsidP="0061572D">
      <w:pPr>
        <w:spacing w:after="0"/>
        <w:rPr>
          <w:rFonts w:ascii="Arial" w:eastAsia="Times New Roman" w:hAnsi="Arial" w:cs="Arial"/>
          <w:sz w:val="20"/>
          <w:szCs w:val="20"/>
          <w:lang w:eastAsia="en-GB"/>
        </w:rPr>
      </w:pPr>
    </w:p>
    <w:p w14:paraId="480ABF21" w14:textId="36B986C0" w:rsidR="0061572D" w:rsidRPr="00507C12" w:rsidRDefault="0061572D" w:rsidP="0061572D">
      <w:pPr>
        <w:pStyle w:val="ListParagraph"/>
        <w:numPr>
          <w:ilvl w:val="0"/>
          <w:numId w:val="5"/>
        </w:numPr>
        <w:spacing w:after="0"/>
        <w:ind w:left="0" w:firstLine="0"/>
        <w:outlineLvl w:val="0"/>
        <w:rPr>
          <w:rFonts w:ascii="Arial" w:eastAsia="Calibri" w:hAnsi="Arial" w:cs="Arial"/>
          <w:b/>
          <w:szCs w:val="20"/>
        </w:rPr>
      </w:pPr>
      <w:r w:rsidRPr="00507C12">
        <w:rPr>
          <w:rFonts w:ascii="Arial" w:eastAsia="Calibri" w:hAnsi="Arial" w:cs="Arial"/>
          <w:b/>
          <w:szCs w:val="20"/>
        </w:rPr>
        <w:t>General Principles</w:t>
      </w:r>
    </w:p>
    <w:p w14:paraId="5F53253C" w14:textId="77777777" w:rsidR="0061572D" w:rsidRPr="00507C12" w:rsidRDefault="0061572D" w:rsidP="0061572D">
      <w:pPr>
        <w:spacing w:after="0"/>
        <w:rPr>
          <w:rFonts w:ascii="Arial" w:eastAsia="Times New Roman" w:hAnsi="Arial" w:cs="Arial"/>
          <w:szCs w:val="20"/>
          <w:lang w:eastAsia="en-GB"/>
        </w:rPr>
      </w:pPr>
    </w:p>
    <w:p w14:paraId="13C85D3F" w14:textId="68B6175A"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Statement of Accounts summarises the Council’s transactions for the </w:t>
      </w:r>
      <w:r w:rsidR="00C333CB">
        <w:rPr>
          <w:rFonts w:ascii="Arial" w:eastAsia="Times New Roman" w:hAnsi="Arial" w:cs="Arial"/>
          <w:szCs w:val="20"/>
          <w:lang w:eastAsia="en-GB"/>
        </w:rPr>
        <w:t>2021/22</w:t>
      </w:r>
      <w:r w:rsidRPr="00507C12">
        <w:rPr>
          <w:rFonts w:ascii="Arial" w:eastAsia="Times New Roman" w:hAnsi="Arial" w:cs="Arial"/>
          <w:szCs w:val="20"/>
          <w:lang w:eastAsia="en-GB"/>
        </w:rPr>
        <w:t xml:space="preserve"> financial year and its position</w:t>
      </w:r>
      <w:r w:rsidR="004856D5">
        <w:rPr>
          <w:rFonts w:ascii="Arial" w:eastAsia="Times New Roman" w:hAnsi="Arial" w:cs="Arial"/>
          <w:szCs w:val="20"/>
          <w:lang w:eastAsia="en-GB"/>
        </w:rPr>
        <w:t xml:space="preserve"> at the year-end of 31 March 202</w:t>
      </w:r>
      <w:r w:rsidR="00FB6D5B">
        <w:rPr>
          <w:rFonts w:ascii="Arial" w:eastAsia="Times New Roman" w:hAnsi="Arial" w:cs="Arial"/>
          <w:szCs w:val="20"/>
          <w:lang w:eastAsia="en-GB"/>
        </w:rPr>
        <w:t>1</w:t>
      </w:r>
      <w:r w:rsidRPr="00507C12">
        <w:rPr>
          <w:rFonts w:ascii="Arial" w:eastAsia="Times New Roman" w:hAnsi="Arial" w:cs="Arial"/>
          <w:szCs w:val="20"/>
          <w:lang w:eastAsia="en-GB"/>
        </w:rPr>
        <w:t xml:space="preserve">.  </w:t>
      </w:r>
    </w:p>
    <w:p w14:paraId="08ADE353" w14:textId="77777777" w:rsidR="0061572D" w:rsidRPr="00507C12" w:rsidRDefault="0061572D" w:rsidP="0061572D">
      <w:pPr>
        <w:spacing w:after="0"/>
        <w:rPr>
          <w:rFonts w:ascii="Arial" w:eastAsia="Times New Roman" w:hAnsi="Arial" w:cs="Arial"/>
          <w:szCs w:val="20"/>
          <w:lang w:eastAsia="en-GB"/>
        </w:rPr>
      </w:pPr>
    </w:p>
    <w:p w14:paraId="11F6ABCA" w14:textId="67B6D4DF"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Council is required to prepare an annual Statement of Accounts under the Accounts and Audit Regulations 2015.  These Regulations require the Statement of Accounts to be prepared in accordance with proper </w:t>
      </w:r>
      <w:r w:rsidRPr="004D49BD">
        <w:rPr>
          <w:rFonts w:ascii="Arial" w:eastAsia="Times New Roman" w:hAnsi="Arial" w:cs="Arial"/>
          <w:szCs w:val="20"/>
          <w:lang w:eastAsia="en-GB"/>
        </w:rPr>
        <w:t xml:space="preserve">accounting practices. </w:t>
      </w:r>
      <w:r w:rsidRPr="004D49BD">
        <w:rPr>
          <w:rFonts w:ascii="Arial" w:hAnsi="Arial" w:cs="Arial"/>
          <w:color w:val="000000"/>
          <w:szCs w:val="20"/>
        </w:rPr>
        <w:t xml:space="preserve">These practices under Section 21 of the 2003 Act primarily comprise the </w:t>
      </w:r>
      <w:r w:rsidRPr="004D49BD">
        <w:rPr>
          <w:rFonts w:ascii="Arial" w:hAnsi="Arial" w:cs="Arial"/>
          <w:i/>
          <w:iCs/>
          <w:color w:val="000000"/>
          <w:szCs w:val="20"/>
        </w:rPr>
        <w:t>Code of Practice on Local Authority Acco</w:t>
      </w:r>
      <w:r w:rsidR="009C2B97">
        <w:rPr>
          <w:rFonts w:ascii="Arial" w:hAnsi="Arial" w:cs="Arial"/>
          <w:i/>
          <w:iCs/>
          <w:color w:val="000000"/>
          <w:szCs w:val="20"/>
        </w:rPr>
        <w:t>unting in the United Kingdom 2021/22</w:t>
      </w:r>
      <w:r w:rsidRPr="004D49BD">
        <w:rPr>
          <w:rFonts w:ascii="Arial" w:hAnsi="Arial" w:cs="Arial"/>
          <w:color w:val="000000"/>
          <w:szCs w:val="20"/>
        </w:rPr>
        <w:t>, supported by International Financial</w:t>
      </w:r>
      <w:r w:rsidRPr="00507C12">
        <w:rPr>
          <w:rFonts w:ascii="Arial" w:hAnsi="Arial" w:cs="Arial"/>
          <w:color w:val="000000"/>
          <w:szCs w:val="20"/>
        </w:rPr>
        <w:t xml:space="preserve"> Reporting Standards (IFRS)</w:t>
      </w:r>
    </w:p>
    <w:p w14:paraId="3F29268B" w14:textId="77777777" w:rsidR="0061572D" w:rsidRPr="00507C12" w:rsidRDefault="0061572D" w:rsidP="0061572D">
      <w:pPr>
        <w:spacing w:after="0"/>
        <w:rPr>
          <w:rFonts w:ascii="Arial" w:eastAsia="Times New Roman" w:hAnsi="Arial" w:cs="Arial"/>
          <w:szCs w:val="20"/>
          <w:lang w:eastAsia="en-GB"/>
        </w:rPr>
      </w:pPr>
    </w:p>
    <w:p w14:paraId="28B88B3F" w14:textId="65D69AB2" w:rsidR="0061572D" w:rsidRDefault="0061572D" w:rsidP="0061572D">
      <w:pPr>
        <w:autoSpaceDE w:val="0"/>
        <w:autoSpaceDN w:val="0"/>
        <w:adjustRightInd w:val="0"/>
        <w:spacing w:after="0" w:line="240" w:lineRule="auto"/>
        <w:rPr>
          <w:rFonts w:ascii="Arial" w:eastAsia="Times New Roman" w:hAnsi="Arial" w:cs="Arial"/>
          <w:szCs w:val="20"/>
          <w:lang w:eastAsia="en-GB"/>
        </w:rPr>
      </w:pPr>
      <w:r w:rsidRPr="00507C12">
        <w:rPr>
          <w:rFonts w:ascii="Arial" w:eastAsia="Times New Roman" w:hAnsi="Arial" w:cs="Arial"/>
          <w:szCs w:val="20"/>
          <w:lang w:eastAsia="en-GB"/>
        </w:rPr>
        <w:t>The accounting convention adopted in the Statement of Accounts is principally historical cost, modified by the revaluation of certain categories of non-current assets and financial instruments.</w:t>
      </w:r>
    </w:p>
    <w:p w14:paraId="74F99439" w14:textId="25B84EB0" w:rsidR="009C2B97" w:rsidRDefault="009C2B97" w:rsidP="0061572D">
      <w:pPr>
        <w:autoSpaceDE w:val="0"/>
        <w:autoSpaceDN w:val="0"/>
        <w:adjustRightInd w:val="0"/>
        <w:spacing w:after="0" w:line="240" w:lineRule="auto"/>
        <w:rPr>
          <w:rFonts w:ascii="Arial" w:eastAsia="Times New Roman" w:hAnsi="Arial" w:cs="Arial"/>
          <w:szCs w:val="20"/>
          <w:lang w:eastAsia="en-GB"/>
        </w:rPr>
      </w:pPr>
    </w:p>
    <w:p w14:paraId="2AAF72B5" w14:textId="77777777" w:rsidR="009C2B97" w:rsidRPr="00507C12" w:rsidRDefault="009C2B97" w:rsidP="0061572D">
      <w:pPr>
        <w:autoSpaceDE w:val="0"/>
        <w:autoSpaceDN w:val="0"/>
        <w:adjustRightInd w:val="0"/>
        <w:spacing w:after="0" w:line="240" w:lineRule="auto"/>
        <w:rPr>
          <w:rFonts w:ascii="Arial" w:eastAsia="Times New Roman" w:hAnsi="Arial" w:cs="Arial"/>
          <w:szCs w:val="20"/>
          <w:lang w:eastAsia="en-GB"/>
        </w:rPr>
      </w:pPr>
    </w:p>
    <w:p w14:paraId="4AC2C72E" w14:textId="77777777" w:rsidR="0061572D" w:rsidRPr="00507C12" w:rsidRDefault="0061572D" w:rsidP="0061572D">
      <w:pPr>
        <w:spacing w:after="0"/>
        <w:rPr>
          <w:rFonts w:ascii="Arial" w:eastAsia="Times New Roman" w:hAnsi="Arial" w:cs="Arial"/>
          <w:szCs w:val="20"/>
          <w:lang w:eastAsia="en-GB"/>
        </w:rPr>
      </w:pPr>
    </w:p>
    <w:p w14:paraId="2D5FFAA4" w14:textId="77777777" w:rsidR="0061572D" w:rsidRPr="00507C12" w:rsidRDefault="0061572D" w:rsidP="0061572D">
      <w:pPr>
        <w:pStyle w:val="ListParagraph"/>
        <w:numPr>
          <w:ilvl w:val="0"/>
          <w:numId w:val="5"/>
        </w:numPr>
        <w:spacing w:after="0"/>
        <w:ind w:left="0" w:firstLine="0"/>
        <w:rPr>
          <w:rFonts w:ascii="Arial" w:eastAsia="Calibri" w:hAnsi="Arial" w:cs="Arial"/>
          <w:b/>
          <w:szCs w:val="20"/>
        </w:rPr>
      </w:pPr>
      <w:r w:rsidRPr="00507C12">
        <w:rPr>
          <w:rFonts w:ascii="Arial" w:eastAsia="Calibri" w:hAnsi="Arial" w:cs="Arial"/>
          <w:b/>
          <w:szCs w:val="20"/>
        </w:rPr>
        <w:t>Accruals of Income and Expenditure</w:t>
      </w:r>
    </w:p>
    <w:p w14:paraId="561F31A1" w14:textId="77777777" w:rsidR="0061572D" w:rsidRPr="00507C12" w:rsidRDefault="0061572D" w:rsidP="0061572D">
      <w:pPr>
        <w:spacing w:after="0"/>
        <w:rPr>
          <w:rFonts w:ascii="Arial" w:eastAsia="Calibri" w:hAnsi="Arial" w:cs="Arial"/>
          <w:b/>
          <w:szCs w:val="20"/>
        </w:rPr>
      </w:pPr>
    </w:p>
    <w:p w14:paraId="05BFD558" w14:textId="1780AF86" w:rsidR="0061572D"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Activity is accounted for in the year that it takes place, not simply when cash payments are made or received.  In particular:</w:t>
      </w:r>
    </w:p>
    <w:p w14:paraId="3EDA7694" w14:textId="77777777" w:rsidR="009C2B97" w:rsidRPr="00507C12" w:rsidRDefault="009C2B97" w:rsidP="0061572D">
      <w:pPr>
        <w:spacing w:after="0"/>
        <w:rPr>
          <w:rFonts w:ascii="Arial" w:eastAsia="Times New Roman" w:hAnsi="Arial" w:cs="Arial"/>
          <w:szCs w:val="20"/>
          <w:lang w:eastAsia="en-GB"/>
        </w:rPr>
      </w:pPr>
    </w:p>
    <w:p w14:paraId="2B683B01" w14:textId="5E03EFDE" w:rsidR="0061572D" w:rsidRDefault="0061572D" w:rsidP="0061572D">
      <w:pPr>
        <w:pStyle w:val="ListParagraph"/>
        <w:numPr>
          <w:ilvl w:val="0"/>
          <w:numId w:val="6"/>
        </w:numPr>
        <w:spacing w:after="0"/>
        <w:jc w:val="left"/>
        <w:rPr>
          <w:rFonts w:ascii="Arial" w:eastAsia="Calibri" w:hAnsi="Arial" w:cs="Arial"/>
          <w:szCs w:val="20"/>
        </w:rPr>
      </w:pPr>
      <w:r w:rsidRPr="00507C12">
        <w:rPr>
          <w:rFonts w:ascii="Arial" w:eastAsia="Calibri" w:hAnsi="Arial" w:cs="Arial"/>
          <w:szCs w:val="20"/>
        </w:rPr>
        <w:t>Revenue from contracts with service recipients, whether for services or the provision of goods, is recognised when (or as) the goods or services are transferred to the service recipient in accordance with the performance obligations in the contract.</w:t>
      </w:r>
    </w:p>
    <w:p w14:paraId="58160B43" w14:textId="77777777" w:rsidR="009C2B97" w:rsidRPr="00507C12" w:rsidRDefault="009C2B97" w:rsidP="009C2B97">
      <w:pPr>
        <w:pStyle w:val="ListParagraph"/>
        <w:spacing w:after="0"/>
        <w:jc w:val="left"/>
        <w:rPr>
          <w:rFonts w:ascii="Arial" w:eastAsia="Calibri" w:hAnsi="Arial" w:cs="Arial"/>
          <w:szCs w:val="20"/>
        </w:rPr>
      </w:pPr>
    </w:p>
    <w:p w14:paraId="58AC6B61" w14:textId="60BAED98" w:rsidR="0061572D" w:rsidRDefault="0061572D" w:rsidP="0061572D">
      <w:pPr>
        <w:pStyle w:val="ListParagraph"/>
        <w:numPr>
          <w:ilvl w:val="0"/>
          <w:numId w:val="6"/>
        </w:numPr>
        <w:spacing w:after="0"/>
        <w:jc w:val="left"/>
        <w:rPr>
          <w:rFonts w:ascii="Arial" w:eastAsia="Calibri" w:hAnsi="Arial" w:cs="Arial"/>
          <w:szCs w:val="20"/>
        </w:rPr>
      </w:pPr>
      <w:r w:rsidRPr="00507C12">
        <w:rPr>
          <w:rFonts w:ascii="Arial" w:eastAsia="Calibri" w:hAnsi="Arial" w:cs="Arial"/>
          <w:szCs w:val="20"/>
        </w:rPr>
        <w:t>Supplies are recorded as expenditure when they are consumed.  For material items where there is a gap between the date supplies are received and their consumption, they are carried as inventories on the Balance Sheet.</w:t>
      </w:r>
    </w:p>
    <w:p w14:paraId="7E39BB67" w14:textId="4A84A1C6" w:rsidR="009C2B97" w:rsidRPr="009C2B97" w:rsidRDefault="009C2B97" w:rsidP="009C2B97">
      <w:pPr>
        <w:spacing w:after="0"/>
        <w:jc w:val="left"/>
        <w:rPr>
          <w:rFonts w:ascii="Arial" w:eastAsia="Calibri" w:hAnsi="Arial" w:cs="Arial"/>
          <w:szCs w:val="20"/>
        </w:rPr>
      </w:pPr>
    </w:p>
    <w:p w14:paraId="69A05628" w14:textId="5D3F15CD" w:rsidR="0061572D" w:rsidRDefault="0061572D" w:rsidP="0061572D">
      <w:pPr>
        <w:pStyle w:val="ListParagraph"/>
        <w:numPr>
          <w:ilvl w:val="0"/>
          <w:numId w:val="6"/>
        </w:numPr>
        <w:spacing w:after="0"/>
        <w:jc w:val="left"/>
        <w:outlineLvl w:val="0"/>
        <w:rPr>
          <w:rFonts w:ascii="Arial" w:eastAsia="Calibri" w:hAnsi="Arial" w:cs="Arial"/>
          <w:szCs w:val="20"/>
        </w:rPr>
      </w:pPr>
      <w:r w:rsidRPr="00507C12">
        <w:rPr>
          <w:rFonts w:ascii="Arial" w:eastAsia="Calibri" w:hAnsi="Arial" w:cs="Arial"/>
          <w:szCs w:val="20"/>
        </w:rPr>
        <w:t>Expenses in relation to services received (including services provided by employees) are recorded as expenditure when the services are received rather than when payments are made.</w:t>
      </w:r>
    </w:p>
    <w:p w14:paraId="58343063" w14:textId="7BC43056" w:rsidR="009C2B97" w:rsidRPr="009C2B97" w:rsidRDefault="009C2B97" w:rsidP="009C2B97">
      <w:pPr>
        <w:spacing w:after="0"/>
        <w:jc w:val="left"/>
        <w:outlineLvl w:val="0"/>
        <w:rPr>
          <w:rFonts w:ascii="Arial" w:eastAsia="Calibri" w:hAnsi="Arial" w:cs="Arial"/>
          <w:szCs w:val="20"/>
        </w:rPr>
      </w:pPr>
    </w:p>
    <w:p w14:paraId="47162847" w14:textId="307F5C23" w:rsidR="0061572D" w:rsidRDefault="0061572D" w:rsidP="0061572D">
      <w:pPr>
        <w:pStyle w:val="ListParagraph"/>
        <w:numPr>
          <w:ilvl w:val="0"/>
          <w:numId w:val="6"/>
        </w:numPr>
        <w:spacing w:after="0"/>
        <w:jc w:val="left"/>
        <w:rPr>
          <w:rFonts w:ascii="Arial" w:eastAsia="Calibri" w:hAnsi="Arial" w:cs="Arial"/>
          <w:szCs w:val="20"/>
        </w:rPr>
      </w:pPr>
      <w:r w:rsidRPr="00507C12">
        <w:rPr>
          <w:rFonts w:ascii="Arial" w:eastAsia="Calibri" w:hAnsi="Arial" w:cs="Arial"/>
          <w:szCs w:val="20"/>
        </w:rPr>
        <w:t>Interest receivable on investments and payable on borrowings is accounted for on the basis of the effective interest rate for the relevant financial instrument rather than the cash flows fixed or determined by the contract.</w:t>
      </w:r>
    </w:p>
    <w:p w14:paraId="20FE7F29" w14:textId="551D4FAF" w:rsidR="009C2B97" w:rsidRPr="009C2B97" w:rsidRDefault="009C2B97" w:rsidP="009C2B97">
      <w:pPr>
        <w:spacing w:after="0"/>
        <w:jc w:val="left"/>
        <w:rPr>
          <w:rFonts w:ascii="Arial" w:eastAsia="Calibri" w:hAnsi="Arial" w:cs="Arial"/>
          <w:szCs w:val="20"/>
        </w:rPr>
      </w:pPr>
    </w:p>
    <w:p w14:paraId="38140D47" w14:textId="77777777" w:rsidR="0061572D" w:rsidRPr="00507C12" w:rsidRDefault="0061572D" w:rsidP="0061572D">
      <w:pPr>
        <w:pStyle w:val="ListParagraph"/>
        <w:numPr>
          <w:ilvl w:val="0"/>
          <w:numId w:val="6"/>
        </w:numPr>
        <w:spacing w:after="0"/>
        <w:jc w:val="left"/>
        <w:rPr>
          <w:rFonts w:ascii="Arial" w:eastAsia="Calibri" w:hAnsi="Arial" w:cs="Arial"/>
          <w:szCs w:val="20"/>
        </w:rPr>
      </w:pPr>
      <w:r w:rsidRPr="00507C12">
        <w:rPr>
          <w:rFonts w:ascii="Arial" w:eastAsia="Calibri" w:hAnsi="Arial" w:cs="Arial"/>
          <w:szCs w:val="20"/>
        </w:rPr>
        <w:t>Where income or expenditure has been recognised but cash has not been received or paid, a debtor or creditor for the relevant amount is recorded in the Balance Sheet.  Where it is doubtful that debts will be settled, the balance of debtors is written down and a charge made to revenue for the income that might not be collected.</w:t>
      </w:r>
    </w:p>
    <w:p w14:paraId="744E1C54" w14:textId="77777777" w:rsidR="0061572D" w:rsidRPr="00507C12" w:rsidRDefault="0061572D" w:rsidP="0061572D">
      <w:pPr>
        <w:spacing w:after="0"/>
        <w:jc w:val="left"/>
        <w:outlineLvl w:val="0"/>
        <w:rPr>
          <w:rFonts w:ascii="Arial" w:eastAsia="Calibri" w:hAnsi="Arial" w:cs="Arial"/>
          <w:szCs w:val="20"/>
        </w:rPr>
      </w:pPr>
    </w:p>
    <w:p w14:paraId="73A1C3EA" w14:textId="77777777" w:rsidR="0061572D" w:rsidRPr="00507C12" w:rsidRDefault="0061572D" w:rsidP="0061572D">
      <w:pPr>
        <w:spacing w:after="0"/>
        <w:outlineLvl w:val="0"/>
        <w:rPr>
          <w:rFonts w:ascii="Arial" w:eastAsia="Times New Roman" w:hAnsi="Arial" w:cs="Arial"/>
          <w:b/>
          <w:szCs w:val="20"/>
          <w:lang w:eastAsia="en-GB"/>
        </w:rPr>
      </w:pPr>
      <w:r w:rsidRPr="00507C12">
        <w:rPr>
          <w:rFonts w:ascii="Arial" w:eastAsia="Times New Roman" w:hAnsi="Arial" w:cs="Arial"/>
          <w:b/>
          <w:szCs w:val="20"/>
          <w:lang w:eastAsia="en-GB"/>
        </w:rPr>
        <w:t>Creditors</w:t>
      </w:r>
    </w:p>
    <w:p w14:paraId="1FE5DC86" w14:textId="4490FFA3" w:rsidR="0061572D" w:rsidRDefault="0061572D" w:rsidP="0061572D">
      <w:pPr>
        <w:pStyle w:val="ListParagraph"/>
        <w:numPr>
          <w:ilvl w:val="0"/>
          <w:numId w:val="7"/>
        </w:numPr>
        <w:spacing w:after="0"/>
        <w:rPr>
          <w:rFonts w:ascii="Arial" w:eastAsia="Calibri" w:hAnsi="Arial" w:cs="Arial"/>
          <w:szCs w:val="20"/>
        </w:rPr>
      </w:pPr>
      <w:r w:rsidRPr="00507C12">
        <w:rPr>
          <w:rFonts w:ascii="Arial" w:eastAsia="Calibri" w:hAnsi="Arial" w:cs="Arial"/>
          <w:szCs w:val="20"/>
        </w:rPr>
        <w:t>Payments to creditors are included in the accounts where the payment relates to goods and/or service</w:t>
      </w:r>
      <w:r w:rsidR="00B2632D">
        <w:rPr>
          <w:rFonts w:ascii="Arial" w:eastAsia="Calibri" w:hAnsi="Arial" w:cs="Arial"/>
          <w:szCs w:val="20"/>
        </w:rPr>
        <w:t>s received prior to 1 April 202</w:t>
      </w:r>
      <w:r w:rsidR="009C2B97">
        <w:rPr>
          <w:rFonts w:ascii="Arial" w:eastAsia="Calibri" w:hAnsi="Arial" w:cs="Arial"/>
          <w:szCs w:val="20"/>
        </w:rPr>
        <w:t>2</w:t>
      </w:r>
      <w:r w:rsidRPr="00507C12">
        <w:rPr>
          <w:rFonts w:ascii="Arial" w:eastAsia="Calibri" w:hAnsi="Arial" w:cs="Arial"/>
          <w:szCs w:val="20"/>
        </w:rPr>
        <w:t>.  Any payment</w:t>
      </w:r>
      <w:r w:rsidR="00B2632D">
        <w:rPr>
          <w:rFonts w:ascii="Arial" w:eastAsia="Calibri" w:hAnsi="Arial" w:cs="Arial"/>
          <w:szCs w:val="20"/>
        </w:rPr>
        <w:t>s in advance (before 1 April</w:t>
      </w:r>
      <w:r w:rsidR="009C2B97">
        <w:rPr>
          <w:rFonts w:ascii="Arial" w:eastAsia="Calibri" w:hAnsi="Arial" w:cs="Arial"/>
          <w:szCs w:val="20"/>
        </w:rPr>
        <w:t xml:space="preserve"> 2022</w:t>
      </w:r>
      <w:r w:rsidR="009F6113">
        <w:rPr>
          <w:rFonts w:ascii="Arial" w:eastAsia="Calibri" w:hAnsi="Arial" w:cs="Arial"/>
          <w:szCs w:val="20"/>
        </w:rPr>
        <w:t>), which relate to the 2021</w:t>
      </w:r>
      <w:r w:rsidR="00B2632D">
        <w:rPr>
          <w:rFonts w:ascii="Arial" w:eastAsia="Calibri" w:hAnsi="Arial" w:cs="Arial"/>
          <w:szCs w:val="20"/>
        </w:rPr>
        <w:t>/2</w:t>
      </w:r>
      <w:r w:rsidR="009F6113">
        <w:rPr>
          <w:rFonts w:ascii="Arial" w:eastAsia="Calibri" w:hAnsi="Arial" w:cs="Arial"/>
          <w:szCs w:val="20"/>
        </w:rPr>
        <w:t>2</w:t>
      </w:r>
      <w:r w:rsidRPr="00507C12">
        <w:rPr>
          <w:rFonts w:ascii="Arial" w:eastAsia="Calibri" w:hAnsi="Arial" w:cs="Arial"/>
          <w:szCs w:val="20"/>
        </w:rPr>
        <w:t xml:space="preserve"> financial year are shown as prepayments.</w:t>
      </w:r>
    </w:p>
    <w:p w14:paraId="09ABFC91" w14:textId="77777777" w:rsidR="009C2B97" w:rsidRPr="00507C12" w:rsidRDefault="009C2B97" w:rsidP="009C2B97">
      <w:pPr>
        <w:pStyle w:val="ListParagraph"/>
        <w:spacing w:after="0"/>
        <w:rPr>
          <w:rFonts w:ascii="Arial" w:eastAsia="Calibri" w:hAnsi="Arial" w:cs="Arial"/>
          <w:szCs w:val="20"/>
        </w:rPr>
      </w:pPr>
    </w:p>
    <w:p w14:paraId="5049C58A" w14:textId="77777777" w:rsidR="0061572D" w:rsidRPr="00507C12" w:rsidRDefault="0061572D" w:rsidP="0061572D">
      <w:pPr>
        <w:pStyle w:val="ListParagraph"/>
        <w:numPr>
          <w:ilvl w:val="0"/>
          <w:numId w:val="7"/>
        </w:numPr>
        <w:spacing w:after="0"/>
        <w:rPr>
          <w:rFonts w:ascii="Arial" w:eastAsia="Calibri" w:hAnsi="Arial" w:cs="Arial"/>
          <w:szCs w:val="20"/>
        </w:rPr>
      </w:pPr>
      <w:r w:rsidRPr="00507C12">
        <w:rPr>
          <w:rFonts w:ascii="Arial" w:eastAsia="Calibri" w:hAnsi="Arial" w:cs="Arial"/>
          <w:szCs w:val="20"/>
        </w:rPr>
        <w:t xml:space="preserve">Exceptions to this include utilities, such as electricity and similar periodic payments, such as rents.  Utility costs are included at the date of meter readings rather than </w:t>
      </w:r>
      <w:r w:rsidRPr="00507C12">
        <w:rPr>
          <w:rFonts w:ascii="Arial" w:eastAsia="Calibri" w:hAnsi="Arial" w:cs="Arial"/>
          <w:szCs w:val="20"/>
        </w:rPr>
        <w:lastRenderedPageBreak/>
        <w:t>apportioned between two financial years.  Rental costs are included in the accounts based on the date the invoice is due for payment.  This policy is consistently applied each year and therefore does not have a material effect on the accounts.</w:t>
      </w:r>
    </w:p>
    <w:p w14:paraId="392C1633" w14:textId="77777777" w:rsidR="0061572D" w:rsidRPr="00507C12" w:rsidRDefault="0061572D" w:rsidP="0061572D">
      <w:pPr>
        <w:spacing w:after="0"/>
        <w:rPr>
          <w:rFonts w:ascii="Arial" w:eastAsia="Calibri" w:hAnsi="Arial" w:cs="Arial"/>
          <w:szCs w:val="20"/>
        </w:rPr>
      </w:pPr>
    </w:p>
    <w:p w14:paraId="6B5C7EE9" w14:textId="77777777" w:rsidR="0061572D" w:rsidRPr="00507C12" w:rsidRDefault="0061572D" w:rsidP="0061572D">
      <w:pPr>
        <w:spacing w:after="0"/>
        <w:outlineLvl w:val="0"/>
        <w:rPr>
          <w:rFonts w:ascii="Arial" w:eastAsia="Times New Roman" w:hAnsi="Arial" w:cs="Arial"/>
          <w:b/>
          <w:szCs w:val="20"/>
          <w:lang w:eastAsia="en-GB"/>
        </w:rPr>
      </w:pPr>
      <w:r w:rsidRPr="00507C12">
        <w:rPr>
          <w:rFonts w:ascii="Arial" w:eastAsia="Times New Roman" w:hAnsi="Arial" w:cs="Arial"/>
          <w:b/>
          <w:szCs w:val="20"/>
          <w:lang w:eastAsia="en-GB"/>
        </w:rPr>
        <w:t>Debtors</w:t>
      </w:r>
    </w:p>
    <w:p w14:paraId="567DAF6C" w14:textId="63648A8F" w:rsidR="0061572D" w:rsidRDefault="0061572D" w:rsidP="009F6113">
      <w:pPr>
        <w:pStyle w:val="ListParagraph"/>
        <w:numPr>
          <w:ilvl w:val="0"/>
          <w:numId w:val="8"/>
        </w:numPr>
        <w:spacing w:after="0"/>
        <w:rPr>
          <w:rFonts w:ascii="Arial" w:eastAsia="Calibri" w:hAnsi="Arial" w:cs="Arial"/>
          <w:szCs w:val="20"/>
        </w:rPr>
      </w:pPr>
      <w:r w:rsidRPr="00507C12">
        <w:rPr>
          <w:rFonts w:ascii="Arial" w:eastAsia="Calibri" w:hAnsi="Arial" w:cs="Arial"/>
          <w:szCs w:val="20"/>
        </w:rPr>
        <w:t>Income from debtors is included in the accounts where the income relates to goods and/or services provided by the Council prior to 31 March 20</w:t>
      </w:r>
      <w:r w:rsidR="009C2B97">
        <w:rPr>
          <w:rFonts w:ascii="Arial" w:eastAsia="Calibri" w:hAnsi="Arial" w:cs="Arial"/>
          <w:szCs w:val="20"/>
        </w:rPr>
        <w:t>22</w:t>
      </w:r>
      <w:r w:rsidRPr="00507C12">
        <w:rPr>
          <w:rFonts w:ascii="Arial" w:eastAsia="Calibri" w:hAnsi="Arial" w:cs="Arial"/>
          <w:szCs w:val="20"/>
        </w:rPr>
        <w:t>.  Any income received before 1 April 20</w:t>
      </w:r>
      <w:r w:rsidR="009C2B97">
        <w:rPr>
          <w:rFonts w:ascii="Arial" w:eastAsia="Calibri" w:hAnsi="Arial" w:cs="Arial"/>
          <w:szCs w:val="20"/>
        </w:rPr>
        <w:t>22</w:t>
      </w:r>
      <w:r w:rsidRPr="009F6113">
        <w:rPr>
          <w:rFonts w:ascii="Arial" w:eastAsia="Calibri" w:hAnsi="Arial" w:cs="Arial"/>
          <w:szCs w:val="20"/>
        </w:rPr>
        <w:t>, which relates to the 20</w:t>
      </w:r>
      <w:r w:rsidR="00B2632D" w:rsidRPr="009F6113">
        <w:rPr>
          <w:rFonts w:ascii="Arial" w:eastAsia="Calibri" w:hAnsi="Arial" w:cs="Arial"/>
          <w:szCs w:val="20"/>
        </w:rPr>
        <w:t>2</w:t>
      </w:r>
      <w:r w:rsidR="009F6113">
        <w:rPr>
          <w:rFonts w:ascii="Arial" w:eastAsia="Calibri" w:hAnsi="Arial" w:cs="Arial"/>
          <w:szCs w:val="20"/>
        </w:rPr>
        <w:t>1</w:t>
      </w:r>
      <w:r w:rsidRPr="009F6113">
        <w:rPr>
          <w:rFonts w:ascii="Arial" w:eastAsia="Calibri" w:hAnsi="Arial" w:cs="Arial"/>
          <w:szCs w:val="20"/>
        </w:rPr>
        <w:t>/2</w:t>
      </w:r>
      <w:r w:rsidR="009F6113">
        <w:rPr>
          <w:rFonts w:ascii="Arial" w:eastAsia="Calibri" w:hAnsi="Arial" w:cs="Arial"/>
          <w:szCs w:val="20"/>
        </w:rPr>
        <w:t>2</w:t>
      </w:r>
      <w:r w:rsidRPr="009F6113">
        <w:rPr>
          <w:rFonts w:ascii="Arial" w:eastAsia="Calibri" w:hAnsi="Arial" w:cs="Arial"/>
          <w:szCs w:val="20"/>
        </w:rPr>
        <w:t xml:space="preserve"> financial year is shown as receipts in advance.</w:t>
      </w:r>
    </w:p>
    <w:p w14:paraId="23247F4B" w14:textId="77777777" w:rsidR="009C2B97" w:rsidRPr="009F6113" w:rsidRDefault="009C2B97" w:rsidP="009C2B97">
      <w:pPr>
        <w:pStyle w:val="ListParagraph"/>
        <w:spacing w:after="0"/>
        <w:rPr>
          <w:rFonts w:ascii="Arial" w:eastAsia="Calibri" w:hAnsi="Arial" w:cs="Arial"/>
          <w:szCs w:val="20"/>
        </w:rPr>
      </w:pPr>
    </w:p>
    <w:p w14:paraId="2EBFA8F6" w14:textId="77777777" w:rsidR="0061572D" w:rsidRDefault="0061572D" w:rsidP="0061572D">
      <w:pPr>
        <w:pStyle w:val="ListParagraph"/>
        <w:numPr>
          <w:ilvl w:val="0"/>
          <w:numId w:val="8"/>
        </w:numPr>
        <w:spacing w:after="0"/>
        <w:rPr>
          <w:rFonts w:ascii="Arial" w:eastAsia="Calibri" w:hAnsi="Arial" w:cs="Arial"/>
          <w:szCs w:val="20"/>
        </w:rPr>
      </w:pPr>
      <w:r w:rsidRPr="00507C12">
        <w:rPr>
          <w:rFonts w:ascii="Arial" w:eastAsia="Calibri" w:hAnsi="Arial" w:cs="Arial"/>
          <w:szCs w:val="20"/>
        </w:rPr>
        <w:t>An exception to this relates to rent due for retail, commercial and industrial premises where rent is due at the quarter date in March.  This policy is consistently applied each year and therefore does not have a material effect on the accounts.</w:t>
      </w:r>
    </w:p>
    <w:p w14:paraId="09C1C055" w14:textId="77777777" w:rsidR="0061572D" w:rsidRPr="00507C12" w:rsidRDefault="0061572D" w:rsidP="0061572D">
      <w:pPr>
        <w:pStyle w:val="ListParagraph"/>
        <w:spacing w:after="0"/>
        <w:rPr>
          <w:rFonts w:ascii="Arial" w:eastAsia="Calibri" w:hAnsi="Arial" w:cs="Arial"/>
          <w:szCs w:val="20"/>
        </w:rPr>
      </w:pPr>
    </w:p>
    <w:p w14:paraId="68FC43FC"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Cash and Cash Equivalents</w:t>
      </w:r>
    </w:p>
    <w:p w14:paraId="30C902D9" w14:textId="77777777" w:rsidR="0061572D" w:rsidRPr="00507C12" w:rsidRDefault="0061572D" w:rsidP="0061572D">
      <w:pPr>
        <w:spacing w:after="0"/>
        <w:rPr>
          <w:rFonts w:ascii="Arial" w:eastAsia="Times New Roman" w:hAnsi="Arial" w:cs="Arial"/>
          <w:szCs w:val="20"/>
          <w:lang w:eastAsia="en-GB"/>
        </w:rPr>
      </w:pPr>
    </w:p>
    <w:p w14:paraId="2A7F12AE" w14:textId="77777777" w:rsidR="0061572D" w:rsidRPr="00507C12" w:rsidRDefault="0061572D" w:rsidP="0061572D">
      <w:pPr>
        <w:spacing w:after="0"/>
        <w:jc w:val="left"/>
        <w:rPr>
          <w:rFonts w:ascii="Arial" w:eastAsia="Times New Roman" w:hAnsi="Arial" w:cs="Arial"/>
          <w:szCs w:val="20"/>
          <w:lang w:eastAsia="en-GB"/>
        </w:rPr>
      </w:pPr>
      <w:r w:rsidRPr="00507C12">
        <w:rPr>
          <w:rFonts w:ascii="Arial" w:eastAsia="Times New Roman" w:hAnsi="Arial" w:cs="Arial"/>
          <w:szCs w:val="20"/>
          <w:lang w:eastAsia="en-GB"/>
        </w:rPr>
        <w:t>Cash is represented by cash in hand and deposits with financial institutions repayable without penalty on notice of not more than 24 hours. Cash equivalents are highly liquid investments that mature overnight or less from the date of acquisition and that are readily convertible to known amounts of cash with insignificant risk of change in value.</w:t>
      </w:r>
    </w:p>
    <w:p w14:paraId="67FC5A80" w14:textId="77777777" w:rsidR="0061572D" w:rsidRPr="00507C12" w:rsidRDefault="0061572D" w:rsidP="0061572D">
      <w:pPr>
        <w:spacing w:after="0"/>
        <w:jc w:val="left"/>
        <w:rPr>
          <w:rFonts w:ascii="Arial" w:eastAsia="Times New Roman" w:hAnsi="Arial" w:cs="Arial"/>
          <w:szCs w:val="20"/>
          <w:lang w:eastAsia="en-GB"/>
        </w:rPr>
      </w:pPr>
    </w:p>
    <w:p w14:paraId="5728D0AB" w14:textId="42735569" w:rsidR="0061572D" w:rsidRPr="00507C12" w:rsidRDefault="0061572D" w:rsidP="0061572D">
      <w:pPr>
        <w:spacing w:after="0"/>
        <w:jc w:val="left"/>
        <w:rPr>
          <w:rFonts w:ascii="Arial" w:eastAsia="Times New Roman" w:hAnsi="Arial" w:cs="Arial"/>
          <w:szCs w:val="20"/>
          <w:lang w:eastAsia="en-GB"/>
        </w:rPr>
      </w:pPr>
      <w:r w:rsidRPr="00507C12">
        <w:rPr>
          <w:rFonts w:ascii="Arial" w:hAnsi="Arial" w:cs="Arial"/>
          <w:color w:val="000000"/>
          <w:szCs w:val="20"/>
        </w:rPr>
        <w:t xml:space="preserve">In the Cash Flow Statement, cash and cash equivalents are shown net of bank overdrafts that are repayable on demand and form an integral part of the </w:t>
      </w:r>
      <w:r w:rsidR="00882CF1">
        <w:rPr>
          <w:rFonts w:ascii="Arial" w:hAnsi="Arial" w:cs="Arial"/>
          <w:color w:val="000000"/>
          <w:szCs w:val="20"/>
        </w:rPr>
        <w:t>council</w:t>
      </w:r>
      <w:r w:rsidRPr="00507C12">
        <w:rPr>
          <w:rFonts w:ascii="Arial" w:hAnsi="Arial" w:cs="Arial"/>
          <w:color w:val="000000"/>
          <w:szCs w:val="20"/>
        </w:rPr>
        <w:t>’s cash management.</w:t>
      </w:r>
    </w:p>
    <w:p w14:paraId="53DA06BD" w14:textId="77777777" w:rsidR="0061572D" w:rsidRPr="00507C12" w:rsidRDefault="0061572D" w:rsidP="0061572D">
      <w:pPr>
        <w:spacing w:after="0"/>
        <w:jc w:val="left"/>
        <w:rPr>
          <w:rFonts w:ascii="Arial" w:eastAsia="Times New Roman" w:hAnsi="Arial" w:cs="Arial"/>
          <w:szCs w:val="20"/>
          <w:lang w:eastAsia="en-GB"/>
        </w:rPr>
      </w:pPr>
    </w:p>
    <w:p w14:paraId="6E415999" w14:textId="77777777" w:rsidR="0061572D" w:rsidRPr="00507C12" w:rsidRDefault="0061572D" w:rsidP="0061572D">
      <w:pPr>
        <w:pStyle w:val="ListParagraph"/>
        <w:numPr>
          <w:ilvl w:val="0"/>
          <w:numId w:val="5"/>
        </w:numPr>
        <w:spacing w:after="0"/>
        <w:ind w:left="0" w:firstLine="0"/>
        <w:rPr>
          <w:rFonts w:ascii="Arial" w:eastAsia="Calibri" w:hAnsi="Arial" w:cs="Arial"/>
          <w:b/>
          <w:szCs w:val="20"/>
        </w:rPr>
      </w:pPr>
      <w:r w:rsidRPr="00507C12">
        <w:rPr>
          <w:rFonts w:ascii="Arial" w:eastAsia="Calibri" w:hAnsi="Arial" w:cs="Arial"/>
          <w:b/>
          <w:szCs w:val="20"/>
        </w:rPr>
        <w:t>Prior Period Adjustments, Changes in Accounting Policies and Estimates and Errors</w:t>
      </w:r>
    </w:p>
    <w:p w14:paraId="5C1733B9" w14:textId="77777777" w:rsidR="0061572D" w:rsidRPr="00507C12" w:rsidRDefault="0061572D" w:rsidP="0061572D">
      <w:pPr>
        <w:spacing w:after="0"/>
        <w:rPr>
          <w:rFonts w:ascii="Arial" w:eastAsia="Calibri" w:hAnsi="Arial" w:cs="Arial"/>
          <w:b/>
          <w:szCs w:val="20"/>
        </w:rPr>
      </w:pPr>
    </w:p>
    <w:p w14:paraId="012824D7"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Prior period adjustments may arise as a result of a change in accounting policies or to correct a material error.  Changes in accounting estimates are accounted for prospectively; that is, in the current and future years affected by the change and do not give rise to a prior period adjustment.</w:t>
      </w:r>
    </w:p>
    <w:p w14:paraId="7C19FD68" w14:textId="77777777" w:rsidR="0061572D" w:rsidRPr="00507C12" w:rsidRDefault="0061572D" w:rsidP="0061572D">
      <w:pPr>
        <w:spacing w:after="0"/>
        <w:rPr>
          <w:rFonts w:ascii="Arial" w:eastAsia="Times New Roman" w:hAnsi="Arial" w:cs="Arial"/>
          <w:szCs w:val="20"/>
          <w:lang w:eastAsia="en-GB"/>
        </w:rPr>
      </w:pPr>
    </w:p>
    <w:p w14:paraId="0C1B6C8E"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Changes in accounting policies are only made when required by proper accounting practices or the change provides more reliable or relevant information about the effect of transactions, other events and conditions on the Council</w:t>
      </w:r>
      <w:r>
        <w:rPr>
          <w:rFonts w:ascii="Arial" w:eastAsia="Times New Roman" w:hAnsi="Arial" w:cs="Arial"/>
          <w:szCs w:val="20"/>
          <w:lang w:eastAsia="en-GB"/>
        </w:rPr>
        <w:t>’</w:t>
      </w:r>
      <w:r w:rsidRPr="00507C12">
        <w:rPr>
          <w:rFonts w:ascii="Arial" w:eastAsia="Times New Roman" w:hAnsi="Arial" w:cs="Arial"/>
          <w:szCs w:val="20"/>
          <w:lang w:eastAsia="en-GB"/>
        </w:rPr>
        <w:t xml:space="preserve">s financial position or financial performance.  Where a change is made, it is applied retrospectively (unless stated otherwise) by adjusting opening balances and comparative amounts for the prior period as if the new policy had always been applied.  </w:t>
      </w:r>
    </w:p>
    <w:p w14:paraId="132046A6" w14:textId="77777777" w:rsidR="0061572D" w:rsidRPr="00507C12" w:rsidRDefault="0061572D" w:rsidP="0061572D">
      <w:pPr>
        <w:spacing w:after="0"/>
        <w:rPr>
          <w:rFonts w:ascii="Arial" w:eastAsia="Times New Roman" w:hAnsi="Arial" w:cs="Arial"/>
          <w:szCs w:val="20"/>
          <w:lang w:eastAsia="en-GB"/>
        </w:rPr>
      </w:pPr>
    </w:p>
    <w:p w14:paraId="58431795"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Material errors discovered in prior period figures are corrected retrospectively by amending opening balances and comparative amounts for the prior period.</w:t>
      </w:r>
    </w:p>
    <w:p w14:paraId="20ECA1B2" w14:textId="77777777" w:rsidR="0061572D" w:rsidRPr="00507C12" w:rsidRDefault="0061572D" w:rsidP="0061572D">
      <w:pPr>
        <w:spacing w:after="0"/>
        <w:rPr>
          <w:rFonts w:ascii="Arial" w:eastAsia="Times New Roman" w:hAnsi="Arial" w:cs="Arial"/>
          <w:szCs w:val="20"/>
          <w:lang w:eastAsia="en-GB"/>
        </w:rPr>
      </w:pPr>
    </w:p>
    <w:p w14:paraId="3103F917"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Charges to Revenue for Non-Current Assets</w:t>
      </w:r>
    </w:p>
    <w:p w14:paraId="0077AF84" w14:textId="77777777" w:rsidR="0061572D" w:rsidRPr="00507C12" w:rsidRDefault="0061572D" w:rsidP="0061572D">
      <w:pPr>
        <w:spacing w:after="0"/>
        <w:outlineLvl w:val="0"/>
        <w:rPr>
          <w:rFonts w:ascii="Arial" w:eastAsia="Times New Roman" w:hAnsi="Arial" w:cs="Arial"/>
          <w:b/>
          <w:szCs w:val="20"/>
          <w:lang w:eastAsia="en-GB"/>
        </w:rPr>
      </w:pPr>
    </w:p>
    <w:p w14:paraId="0A950B5C" w14:textId="77777777" w:rsidR="0061572D" w:rsidRPr="00507C12" w:rsidRDefault="0061572D" w:rsidP="0061572D">
      <w:pPr>
        <w:autoSpaceDE w:val="0"/>
        <w:autoSpaceDN w:val="0"/>
        <w:adjustRightInd w:val="0"/>
        <w:spacing w:after="0"/>
        <w:rPr>
          <w:rFonts w:ascii="Arial" w:hAnsi="Arial" w:cs="Arial"/>
          <w:szCs w:val="20"/>
        </w:rPr>
      </w:pPr>
      <w:r w:rsidRPr="00507C12">
        <w:rPr>
          <w:rFonts w:ascii="Arial" w:hAnsi="Arial" w:cs="Arial"/>
          <w:szCs w:val="20"/>
        </w:rPr>
        <w:t>Services and trading accounts are charged with the following amounts to record the cost of holding non-current assets during the year:</w:t>
      </w:r>
    </w:p>
    <w:p w14:paraId="12E188F0" w14:textId="7FB33F28" w:rsidR="0061572D" w:rsidRDefault="0061572D" w:rsidP="0061572D">
      <w:pPr>
        <w:pStyle w:val="ListParagraph"/>
        <w:numPr>
          <w:ilvl w:val="0"/>
          <w:numId w:val="9"/>
        </w:numPr>
        <w:autoSpaceDE w:val="0"/>
        <w:autoSpaceDN w:val="0"/>
        <w:adjustRightInd w:val="0"/>
        <w:spacing w:after="0"/>
        <w:rPr>
          <w:rFonts w:ascii="Arial" w:hAnsi="Arial" w:cs="Arial"/>
          <w:szCs w:val="20"/>
        </w:rPr>
      </w:pPr>
      <w:r w:rsidRPr="00507C12">
        <w:rPr>
          <w:rFonts w:ascii="Arial" w:hAnsi="Arial" w:cs="Arial"/>
          <w:szCs w:val="20"/>
        </w:rPr>
        <w:t>Depreciation attributable to the assets used by the relevant service.</w:t>
      </w:r>
    </w:p>
    <w:p w14:paraId="1A8AE961" w14:textId="77777777" w:rsidR="0094742F" w:rsidRPr="00507C12" w:rsidRDefault="0094742F" w:rsidP="0094742F">
      <w:pPr>
        <w:pStyle w:val="ListParagraph"/>
        <w:autoSpaceDE w:val="0"/>
        <w:autoSpaceDN w:val="0"/>
        <w:adjustRightInd w:val="0"/>
        <w:spacing w:after="0"/>
        <w:rPr>
          <w:rFonts w:ascii="Arial" w:hAnsi="Arial" w:cs="Arial"/>
          <w:szCs w:val="20"/>
        </w:rPr>
      </w:pPr>
    </w:p>
    <w:p w14:paraId="3CDCA634" w14:textId="6A92504F" w:rsidR="0094742F" w:rsidRDefault="0061572D" w:rsidP="0094742F">
      <w:pPr>
        <w:pStyle w:val="ListParagraph"/>
        <w:numPr>
          <w:ilvl w:val="0"/>
          <w:numId w:val="9"/>
        </w:numPr>
        <w:autoSpaceDE w:val="0"/>
        <w:autoSpaceDN w:val="0"/>
        <w:adjustRightInd w:val="0"/>
        <w:spacing w:after="0"/>
        <w:rPr>
          <w:rFonts w:ascii="Arial" w:hAnsi="Arial" w:cs="Arial"/>
          <w:szCs w:val="20"/>
        </w:rPr>
      </w:pPr>
      <w:r w:rsidRPr="00507C12">
        <w:rPr>
          <w:rFonts w:ascii="Arial" w:hAnsi="Arial" w:cs="Arial"/>
          <w:szCs w:val="20"/>
        </w:rPr>
        <w:t>Revaluation and impairment losses on assets used by the service where there are no accumulated gains in the Revaluation Reserve against which the losses can be written off.</w:t>
      </w:r>
    </w:p>
    <w:p w14:paraId="0A1FCA5C" w14:textId="5C28A55C" w:rsidR="0094742F" w:rsidRPr="0094742F" w:rsidRDefault="0094742F" w:rsidP="0094742F">
      <w:pPr>
        <w:autoSpaceDE w:val="0"/>
        <w:autoSpaceDN w:val="0"/>
        <w:adjustRightInd w:val="0"/>
        <w:spacing w:after="0"/>
        <w:rPr>
          <w:rFonts w:ascii="Arial" w:hAnsi="Arial" w:cs="Arial"/>
          <w:szCs w:val="20"/>
        </w:rPr>
      </w:pPr>
    </w:p>
    <w:p w14:paraId="0586D796" w14:textId="77777777" w:rsidR="0061572D" w:rsidRPr="00507C12" w:rsidRDefault="0061572D" w:rsidP="0061572D">
      <w:pPr>
        <w:pStyle w:val="ListParagraph"/>
        <w:numPr>
          <w:ilvl w:val="0"/>
          <w:numId w:val="9"/>
        </w:numPr>
        <w:autoSpaceDE w:val="0"/>
        <w:autoSpaceDN w:val="0"/>
        <w:adjustRightInd w:val="0"/>
        <w:spacing w:after="0"/>
        <w:rPr>
          <w:rFonts w:ascii="Arial" w:hAnsi="Arial" w:cs="Arial"/>
          <w:szCs w:val="20"/>
        </w:rPr>
      </w:pPr>
      <w:r w:rsidRPr="00507C12">
        <w:rPr>
          <w:rFonts w:ascii="Arial" w:hAnsi="Arial" w:cs="Arial"/>
          <w:szCs w:val="20"/>
        </w:rPr>
        <w:t>Amortisation of intangible assets attributable to the service.</w:t>
      </w:r>
    </w:p>
    <w:p w14:paraId="210958B5" w14:textId="77777777" w:rsidR="0061572D" w:rsidRPr="00507C12" w:rsidRDefault="0061572D" w:rsidP="0061572D">
      <w:pPr>
        <w:autoSpaceDE w:val="0"/>
        <w:autoSpaceDN w:val="0"/>
        <w:adjustRightInd w:val="0"/>
        <w:spacing w:after="0"/>
        <w:rPr>
          <w:rFonts w:ascii="Arial" w:hAnsi="Arial" w:cs="Arial"/>
          <w:szCs w:val="20"/>
        </w:rPr>
      </w:pPr>
    </w:p>
    <w:p w14:paraId="7E9CC89B" w14:textId="77777777" w:rsidR="0061572D" w:rsidRPr="00507C12" w:rsidRDefault="0061572D" w:rsidP="0061572D">
      <w:pPr>
        <w:autoSpaceDE w:val="0"/>
        <w:autoSpaceDN w:val="0"/>
        <w:adjustRightInd w:val="0"/>
        <w:spacing w:after="0"/>
        <w:rPr>
          <w:rFonts w:ascii="Arial" w:hAnsi="Arial" w:cs="Arial"/>
          <w:szCs w:val="20"/>
        </w:rPr>
      </w:pPr>
      <w:r w:rsidRPr="00507C12">
        <w:rPr>
          <w:rFonts w:ascii="Arial" w:hAnsi="Arial" w:cs="Arial"/>
          <w:szCs w:val="20"/>
        </w:rPr>
        <w:t>The Council is not required to raise Council Tax to cover depreciation, revaluation and impairment losses or amortisations.  However, it is required to make an annual contribution from Revenue towards the reduction in its overall borrowing requirement, equal to an amount calculated on a prudent basis determined by the Council in accordance with statutory guidance known as the Minimum Revenue Provision (MRP).  The Council’s MRP policy is:</w:t>
      </w:r>
    </w:p>
    <w:p w14:paraId="5FC8CCA1" w14:textId="1E5CAC3E" w:rsidR="0061572D" w:rsidRDefault="0061572D" w:rsidP="0061572D">
      <w:pPr>
        <w:pStyle w:val="ListParagraph"/>
        <w:numPr>
          <w:ilvl w:val="0"/>
          <w:numId w:val="10"/>
        </w:numPr>
        <w:autoSpaceDE w:val="0"/>
        <w:autoSpaceDN w:val="0"/>
        <w:adjustRightInd w:val="0"/>
        <w:spacing w:after="0"/>
        <w:rPr>
          <w:rFonts w:ascii="Arial" w:hAnsi="Arial" w:cs="Arial"/>
          <w:bCs/>
          <w:iCs/>
          <w:szCs w:val="20"/>
        </w:rPr>
      </w:pPr>
      <w:r w:rsidRPr="00507C12">
        <w:rPr>
          <w:rFonts w:ascii="Arial" w:hAnsi="Arial" w:cs="Arial"/>
          <w:szCs w:val="20"/>
        </w:rPr>
        <w:t xml:space="preserve">For </w:t>
      </w:r>
      <w:r w:rsidRPr="00507C12">
        <w:rPr>
          <w:rFonts w:ascii="Arial" w:hAnsi="Arial" w:cs="Arial"/>
          <w:bCs/>
          <w:iCs/>
          <w:szCs w:val="20"/>
        </w:rPr>
        <w:t>supported borrowing the regulatory method is used and;</w:t>
      </w:r>
    </w:p>
    <w:p w14:paraId="644876A0" w14:textId="77777777" w:rsidR="0094742F" w:rsidRPr="00507C12" w:rsidRDefault="0094742F" w:rsidP="0094742F">
      <w:pPr>
        <w:pStyle w:val="ListParagraph"/>
        <w:autoSpaceDE w:val="0"/>
        <w:autoSpaceDN w:val="0"/>
        <w:adjustRightInd w:val="0"/>
        <w:spacing w:after="0"/>
        <w:rPr>
          <w:rFonts w:ascii="Arial" w:hAnsi="Arial" w:cs="Arial"/>
          <w:bCs/>
          <w:iCs/>
          <w:szCs w:val="20"/>
        </w:rPr>
      </w:pPr>
    </w:p>
    <w:p w14:paraId="57D8368D" w14:textId="77777777" w:rsidR="0007631C" w:rsidRDefault="002574B3" w:rsidP="0007631C">
      <w:pPr>
        <w:pStyle w:val="ListParagraph"/>
        <w:numPr>
          <w:ilvl w:val="0"/>
          <w:numId w:val="10"/>
        </w:numPr>
        <w:autoSpaceDE w:val="0"/>
        <w:autoSpaceDN w:val="0"/>
        <w:adjustRightInd w:val="0"/>
        <w:spacing w:after="0"/>
        <w:rPr>
          <w:rFonts w:ascii="Arial" w:hAnsi="Arial" w:cs="Arial"/>
          <w:szCs w:val="20"/>
        </w:rPr>
      </w:pPr>
      <w:r>
        <w:rPr>
          <w:rFonts w:ascii="Arial" w:eastAsia="SymbolMT" w:hAnsi="Arial" w:cs="Arial"/>
          <w:szCs w:val="20"/>
        </w:rPr>
        <w:t>From 2015/</w:t>
      </w:r>
      <w:r w:rsidR="0061572D" w:rsidRPr="00507C12">
        <w:rPr>
          <w:rFonts w:ascii="Arial" w:eastAsia="SymbolMT" w:hAnsi="Arial" w:cs="Arial"/>
          <w:szCs w:val="20"/>
        </w:rPr>
        <w:t>16 f</w:t>
      </w:r>
      <w:r w:rsidR="0061572D" w:rsidRPr="00507C12">
        <w:rPr>
          <w:rFonts w:ascii="Arial" w:hAnsi="Arial" w:cs="Arial"/>
          <w:szCs w:val="20"/>
        </w:rPr>
        <w:t>or all other assets acquired through unsupported borrowing</w:t>
      </w:r>
      <w:r w:rsidR="00BB76A0">
        <w:rPr>
          <w:rFonts w:ascii="Arial" w:hAnsi="Arial" w:cs="Arial"/>
          <w:szCs w:val="20"/>
        </w:rPr>
        <w:t xml:space="preserve">, except for </w:t>
      </w:r>
      <w:r w:rsidR="00A4050C">
        <w:rPr>
          <w:rFonts w:ascii="Arial" w:hAnsi="Arial" w:cs="Arial"/>
          <w:szCs w:val="20"/>
        </w:rPr>
        <w:t>commercial property investments</w:t>
      </w:r>
      <w:r w:rsidR="00BB76A0">
        <w:rPr>
          <w:rFonts w:ascii="Arial" w:hAnsi="Arial" w:cs="Arial"/>
          <w:szCs w:val="20"/>
        </w:rPr>
        <w:t>,</w:t>
      </w:r>
      <w:r w:rsidR="0061572D" w:rsidRPr="00507C12">
        <w:rPr>
          <w:rFonts w:ascii="Arial" w:hAnsi="Arial" w:cs="Arial"/>
          <w:szCs w:val="20"/>
        </w:rPr>
        <w:t xml:space="preserve"> the MRP is based on the depreciation method</w:t>
      </w:r>
      <w:r>
        <w:rPr>
          <w:rFonts w:ascii="Arial" w:hAnsi="Arial" w:cs="Arial"/>
          <w:szCs w:val="20"/>
        </w:rPr>
        <w:t>.  Prior to 2015/</w:t>
      </w:r>
      <w:r w:rsidR="0061572D" w:rsidRPr="00507C12">
        <w:rPr>
          <w:rFonts w:ascii="Arial" w:hAnsi="Arial" w:cs="Arial"/>
          <w:szCs w:val="20"/>
        </w:rPr>
        <w:t>16 the method used to calculate the MRP was based on the asset life method</w:t>
      </w:r>
      <w:r w:rsidR="0061572D" w:rsidRPr="00507C12">
        <w:rPr>
          <w:rFonts w:ascii="Arial" w:hAnsi="Arial" w:cs="Arial"/>
          <w:color w:val="5B9BD5" w:themeColor="accent1"/>
          <w:szCs w:val="20"/>
        </w:rPr>
        <w:t xml:space="preserve">. </w:t>
      </w:r>
      <w:r w:rsidR="0061572D" w:rsidRPr="00507C12">
        <w:rPr>
          <w:rFonts w:ascii="Arial" w:hAnsi="Arial" w:cs="Arial"/>
          <w:szCs w:val="20"/>
        </w:rPr>
        <w:t xml:space="preserve">Depreciation, revaluation and impairment losses and amortisations are therefore replaced by the contribution in the General Fund Balance as MRP by way of an </w:t>
      </w:r>
      <w:r w:rsidR="0061572D" w:rsidRPr="0007631C">
        <w:rPr>
          <w:rFonts w:ascii="Arial" w:hAnsi="Arial" w:cs="Arial"/>
          <w:szCs w:val="20"/>
        </w:rPr>
        <w:t xml:space="preserve">adjusting transaction with the Capital Adjustment Account in the Movement in Reserves Statement for the difference between the two.  </w:t>
      </w:r>
    </w:p>
    <w:p w14:paraId="1CB19FF5" w14:textId="77777777" w:rsidR="0007631C" w:rsidRPr="0007631C" w:rsidRDefault="0007631C" w:rsidP="0007631C">
      <w:pPr>
        <w:pStyle w:val="ListParagraph"/>
        <w:rPr>
          <w:rFonts w:ascii="Arial" w:hAnsi="Arial" w:cs="Arial"/>
          <w:szCs w:val="20"/>
        </w:rPr>
      </w:pPr>
    </w:p>
    <w:p w14:paraId="20383487" w14:textId="578D03D0" w:rsidR="00BB76A0" w:rsidRPr="0007631C" w:rsidRDefault="00BB76A0" w:rsidP="0007631C">
      <w:pPr>
        <w:pStyle w:val="ListParagraph"/>
        <w:numPr>
          <w:ilvl w:val="0"/>
          <w:numId w:val="10"/>
        </w:numPr>
        <w:autoSpaceDE w:val="0"/>
        <w:autoSpaceDN w:val="0"/>
        <w:adjustRightInd w:val="0"/>
        <w:spacing w:after="0"/>
        <w:rPr>
          <w:rFonts w:ascii="Arial" w:hAnsi="Arial" w:cs="Arial"/>
          <w:szCs w:val="20"/>
        </w:rPr>
      </w:pPr>
      <w:r w:rsidRPr="0007631C">
        <w:rPr>
          <w:rFonts w:ascii="Arial" w:hAnsi="Arial" w:cs="Arial"/>
          <w:szCs w:val="20"/>
        </w:rPr>
        <w:t xml:space="preserve">For </w:t>
      </w:r>
      <w:r w:rsidR="00A4050C" w:rsidRPr="0007631C">
        <w:rPr>
          <w:rFonts w:ascii="Arial" w:hAnsi="Arial" w:cs="Arial"/>
          <w:szCs w:val="20"/>
        </w:rPr>
        <w:t>commercial property investments</w:t>
      </w:r>
      <w:r w:rsidRPr="0007631C">
        <w:rPr>
          <w:rFonts w:ascii="Arial" w:hAnsi="Arial" w:cs="Arial"/>
          <w:szCs w:val="20"/>
        </w:rPr>
        <w:t xml:space="preserve"> purchased using unsupported borrowing, MRP is based on the Future Cash Flow / Impairment Method</w:t>
      </w:r>
      <w:r w:rsidR="009F6113" w:rsidRPr="0007631C">
        <w:rPr>
          <w:rFonts w:ascii="Arial" w:hAnsi="Arial" w:cs="Arial"/>
          <w:szCs w:val="20"/>
        </w:rPr>
        <w:t xml:space="preserve">, as per the </w:t>
      </w:r>
      <w:r w:rsidR="00C333CB" w:rsidRPr="0007631C">
        <w:rPr>
          <w:rFonts w:ascii="Arial" w:hAnsi="Arial" w:cs="Arial"/>
          <w:szCs w:val="20"/>
        </w:rPr>
        <w:t>2021/22</w:t>
      </w:r>
      <w:r w:rsidRPr="0007631C">
        <w:rPr>
          <w:rFonts w:ascii="Arial" w:hAnsi="Arial" w:cs="Arial"/>
          <w:szCs w:val="20"/>
        </w:rPr>
        <w:t xml:space="preserve"> MRP Policy Statement</w:t>
      </w:r>
      <w:r w:rsidR="0007631C" w:rsidRPr="0007631C">
        <w:rPr>
          <w:rFonts w:ascii="Arial" w:hAnsi="Arial" w:cs="Arial"/>
          <w:szCs w:val="20"/>
        </w:rPr>
        <w:t>.</w:t>
      </w:r>
      <w:r w:rsidR="00A4050C" w:rsidRPr="0007631C">
        <w:rPr>
          <w:rFonts w:ascii="Arial" w:hAnsi="Arial" w:cs="Arial"/>
          <w:szCs w:val="20"/>
        </w:rPr>
        <w:t xml:space="preserve"> </w:t>
      </w:r>
    </w:p>
    <w:p w14:paraId="2743EED8" w14:textId="77777777" w:rsidR="0061572D" w:rsidRDefault="0061572D" w:rsidP="0061572D">
      <w:pPr>
        <w:rPr>
          <w:rFonts w:ascii="Arial" w:hAnsi="Arial" w:cs="Arial"/>
          <w:b/>
          <w:bCs/>
          <w:color w:val="000000"/>
          <w:szCs w:val="20"/>
        </w:rPr>
      </w:pPr>
    </w:p>
    <w:p w14:paraId="742E991A" w14:textId="77777777" w:rsidR="0061572D" w:rsidRPr="00507C12" w:rsidRDefault="0061572D" w:rsidP="0061572D">
      <w:pPr>
        <w:pStyle w:val="Pa14"/>
        <w:numPr>
          <w:ilvl w:val="0"/>
          <w:numId w:val="5"/>
        </w:numPr>
        <w:spacing w:line="160" w:lineRule="atLeast"/>
        <w:ind w:left="0" w:right="100" w:firstLine="0"/>
        <w:rPr>
          <w:rFonts w:ascii="Arial" w:hAnsi="Arial" w:cs="Arial"/>
          <w:b/>
          <w:bCs/>
          <w:color w:val="000000"/>
          <w:sz w:val="22"/>
          <w:szCs w:val="20"/>
        </w:rPr>
      </w:pPr>
      <w:r w:rsidRPr="00507C12">
        <w:rPr>
          <w:rFonts w:ascii="Arial" w:hAnsi="Arial" w:cs="Arial"/>
          <w:b/>
          <w:bCs/>
          <w:color w:val="000000"/>
          <w:sz w:val="22"/>
          <w:szCs w:val="20"/>
        </w:rPr>
        <w:t xml:space="preserve">Council Tax and Non-Domestic Rates (NDR) (England) </w:t>
      </w:r>
    </w:p>
    <w:p w14:paraId="3AB462F9" w14:textId="77777777" w:rsidR="0061572D" w:rsidRPr="00507C12" w:rsidRDefault="0061572D" w:rsidP="0061572D">
      <w:pPr>
        <w:pStyle w:val="Default"/>
        <w:rPr>
          <w:rFonts w:ascii="Arial" w:hAnsi="Arial" w:cs="Arial"/>
          <w:sz w:val="22"/>
          <w:szCs w:val="20"/>
          <w:lang w:eastAsia="en-US"/>
        </w:rPr>
      </w:pPr>
    </w:p>
    <w:p w14:paraId="3545ACEB" w14:textId="77777777" w:rsidR="0061572D" w:rsidRPr="00507C12" w:rsidRDefault="0061572D" w:rsidP="0061572D">
      <w:pPr>
        <w:pStyle w:val="Pa10"/>
        <w:spacing w:line="160" w:lineRule="atLeast"/>
        <w:rPr>
          <w:rFonts w:ascii="Arial" w:hAnsi="Arial" w:cs="Arial"/>
          <w:color w:val="000000"/>
          <w:sz w:val="22"/>
          <w:szCs w:val="20"/>
        </w:rPr>
      </w:pPr>
      <w:r w:rsidRPr="00507C12">
        <w:rPr>
          <w:rFonts w:ascii="Arial" w:hAnsi="Arial" w:cs="Arial"/>
          <w:color w:val="000000"/>
          <w:sz w:val="22"/>
          <w:szCs w:val="20"/>
        </w:rPr>
        <w:t xml:space="preserve">Billing authorities act as agents, collecting council tax and non-domestic rates (NDR) on behalf of the major preceptors (including government for NDR) and as principals, collecting council tax and NDR for themselves. Billing authorities are required by statute to maintain a separate fund (ie the Collection Fund) for the collection and distribution of amounts due in respect </w:t>
      </w:r>
      <w:r w:rsidR="006A09A0" w:rsidRPr="00507C12">
        <w:rPr>
          <w:rFonts w:ascii="Arial" w:hAnsi="Arial" w:cs="Arial"/>
          <w:color w:val="000000"/>
          <w:sz w:val="22"/>
          <w:szCs w:val="20"/>
        </w:rPr>
        <w:t xml:space="preserve">of </w:t>
      </w:r>
      <w:r w:rsidR="006A09A0">
        <w:rPr>
          <w:rFonts w:ascii="Arial" w:hAnsi="Arial" w:cs="Arial"/>
          <w:color w:val="000000"/>
          <w:sz w:val="22"/>
          <w:szCs w:val="20"/>
        </w:rPr>
        <w:t>council</w:t>
      </w:r>
      <w:r w:rsidRPr="00507C12">
        <w:rPr>
          <w:rFonts w:ascii="Arial" w:hAnsi="Arial" w:cs="Arial"/>
          <w:color w:val="000000"/>
          <w:sz w:val="22"/>
          <w:szCs w:val="20"/>
        </w:rPr>
        <w:t xml:space="preserve"> tax and NDR. Under the legislative framework for the Collection Fund, billing authorities, major preceptors and central government share proportionately the risks and rewards that the amount of council tax and NDR collected could be less or more than predicted. </w:t>
      </w:r>
    </w:p>
    <w:p w14:paraId="4D0791A1" w14:textId="77777777" w:rsidR="0061572D" w:rsidRPr="00507C12" w:rsidRDefault="0061572D" w:rsidP="0061572D">
      <w:pPr>
        <w:pStyle w:val="Default"/>
        <w:rPr>
          <w:rFonts w:ascii="Arial" w:hAnsi="Arial" w:cs="Arial"/>
          <w:sz w:val="22"/>
          <w:szCs w:val="20"/>
          <w:lang w:eastAsia="en-US"/>
        </w:rPr>
      </w:pPr>
    </w:p>
    <w:p w14:paraId="366ABAA9" w14:textId="77777777" w:rsidR="0061572D" w:rsidRPr="00507C12" w:rsidRDefault="0061572D" w:rsidP="0061572D">
      <w:pPr>
        <w:pStyle w:val="Pa25"/>
        <w:spacing w:line="160" w:lineRule="atLeast"/>
        <w:ind w:right="100"/>
        <w:rPr>
          <w:rFonts w:ascii="Arial" w:hAnsi="Arial" w:cs="Arial"/>
          <w:color w:val="000000"/>
          <w:sz w:val="22"/>
          <w:szCs w:val="20"/>
        </w:rPr>
      </w:pPr>
      <w:r w:rsidRPr="00507C12">
        <w:rPr>
          <w:rFonts w:ascii="Arial" w:hAnsi="Arial" w:cs="Arial"/>
          <w:b/>
          <w:bCs/>
          <w:color w:val="000000"/>
          <w:sz w:val="22"/>
          <w:szCs w:val="20"/>
        </w:rPr>
        <w:t xml:space="preserve">Accounting for Council Tax and NDR </w:t>
      </w:r>
    </w:p>
    <w:p w14:paraId="3787B1D2" w14:textId="77777777" w:rsidR="0061572D" w:rsidRPr="00507C12" w:rsidRDefault="0061572D" w:rsidP="0061572D">
      <w:pPr>
        <w:spacing w:after="0"/>
        <w:rPr>
          <w:rFonts w:ascii="Arial" w:hAnsi="Arial" w:cs="Arial"/>
          <w:color w:val="000000"/>
          <w:szCs w:val="20"/>
        </w:rPr>
      </w:pPr>
      <w:r w:rsidRPr="00507C12">
        <w:rPr>
          <w:rFonts w:ascii="Arial" w:hAnsi="Arial" w:cs="Arial"/>
          <w:color w:val="000000"/>
          <w:szCs w:val="20"/>
        </w:rPr>
        <w:t xml:space="preserve">The council tax and NDR income included in the Comprehensive Income and Expenditure Statement is the Council’s share of accrued income for the year.  However, regulations determine the amount of council tax and NDR that must be included in the Council’s General Fund. Therefore, the difference between the income included in the Comprehensive Income and Expenditure Statement and the amount required by regulation to be credited to the General Fund is taken to the Collection Fund Adjustment Account and included as a reconciling item in the Movement in Reserves Statement. </w:t>
      </w:r>
    </w:p>
    <w:p w14:paraId="6BBDA99E" w14:textId="77777777" w:rsidR="0061572D" w:rsidRPr="00507C12" w:rsidRDefault="0061572D" w:rsidP="0061572D">
      <w:pPr>
        <w:spacing w:after="0"/>
        <w:rPr>
          <w:rFonts w:ascii="Arial" w:hAnsi="Arial" w:cs="Arial"/>
          <w:color w:val="000000"/>
          <w:szCs w:val="20"/>
        </w:rPr>
      </w:pPr>
    </w:p>
    <w:p w14:paraId="6620F48D" w14:textId="77777777" w:rsidR="0061572D" w:rsidRPr="00507C12" w:rsidRDefault="0061572D" w:rsidP="0061572D">
      <w:pPr>
        <w:spacing w:after="0"/>
        <w:rPr>
          <w:rFonts w:ascii="Arial" w:hAnsi="Arial" w:cs="Arial"/>
          <w:color w:val="000000"/>
          <w:szCs w:val="20"/>
        </w:rPr>
      </w:pPr>
      <w:r w:rsidRPr="00507C12">
        <w:rPr>
          <w:rFonts w:ascii="Arial" w:hAnsi="Arial" w:cs="Arial"/>
          <w:color w:val="000000"/>
          <w:szCs w:val="20"/>
        </w:rPr>
        <w:t>The Balance Sheet includes the Council’s share of the end of year balances in respect of council tax and NDR relating to arrears, impairment allowances for doubtful debts, overpayments and prepayments and appeals.</w:t>
      </w:r>
    </w:p>
    <w:p w14:paraId="1952C3A1" w14:textId="77777777" w:rsidR="0061572D" w:rsidRPr="00507C12" w:rsidRDefault="0061572D" w:rsidP="0061572D">
      <w:pPr>
        <w:spacing w:after="0"/>
        <w:rPr>
          <w:rFonts w:ascii="Arial" w:hAnsi="Arial" w:cs="Arial"/>
          <w:color w:val="000000"/>
          <w:szCs w:val="20"/>
        </w:rPr>
      </w:pPr>
    </w:p>
    <w:p w14:paraId="1727BB60" w14:textId="0B27926D" w:rsidR="0061572D" w:rsidRPr="00507C12" w:rsidRDefault="0061572D" w:rsidP="0061572D">
      <w:pPr>
        <w:spacing w:after="0"/>
        <w:rPr>
          <w:rFonts w:ascii="Arial" w:hAnsi="Arial" w:cs="Arial"/>
          <w:color w:val="000000"/>
          <w:szCs w:val="20"/>
        </w:rPr>
      </w:pPr>
      <w:r w:rsidRPr="00507C12">
        <w:rPr>
          <w:rFonts w:ascii="Arial" w:hAnsi="Arial" w:cs="Arial"/>
          <w:color w:val="000000"/>
          <w:szCs w:val="20"/>
        </w:rPr>
        <w:t xml:space="preserve">Where debtor balances for the above are identified as impaired because of a likelihood arising from a past event that payments due under the statutory arrangements will not be made (fixed or determinable payments), the asset is written down and a charge made to the Financing and Investment Income and Expenditure line in the </w:t>
      </w:r>
      <w:r w:rsidR="002A4E89" w:rsidRPr="00507C12">
        <w:rPr>
          <w:rFonts w:ascii="Arial" w:hAnsi="Arial" w:cs="Arial"/>
          <w:color w:val="000000"/>
          <w:szCs w:val="20"/>
        </w:rPr>
        <w:t>Comprehensive Income and Expenditure Statement</w:t>
      </w:r>
      <w:r w:rsidRPr="00507C12">
        <w:rPr>
          <w:rFonts w:ascii="Arial" w:hAnsi="Arial" w:cs="Arial"/>
          <w:color w:val="000000"/>
          <w:szCs w:val="20"/>
        </w:rPr>
        <w:t>. The impairment loss is measured as the difference between the carrying amount and the revised future cash flows.</w:t>
      </w:r>
    </w:p>
    <w:p w14:paraId="6A4C1B14" w14:textId="77777777" w:rsidR="0061572D" w:rsidRPr="00507C12" w:rsidRDefault="0061572D" w:rsidP="0061572D">
      <w:pPr>
        <w:spacing w:after="0"/>
        <w:rPr>
          <w:rFonts w:ascii="Arial" w:eastAsia="Calibri" w:hAnsi="Arial" w:cs="Arial"/>
          <w:b/>
          <w:szCs w:val="20"/>
        </w:rPr>
      </w:pPr>
    </w:p>
    <w:p w14:paraId="04B7B9DE" w14:textId="77777777" w:rsidR="0061572D" w:rsidRPr="00507C12" w:rsidRDefault="0061572D" w:rsidP="0061572D">
      <w:pPr>
        <w:pStyle w:val="ListParagraph"/>
        <w:numPr>
          <w:ilvl w:val="0"/>
          <w:numId w:val="5"/>
        </w:numPr>
        <w:spacing w:after="0"/>
        <w:ind w:left="0" w:firstLine="0"/>
        <w:rPr>
          <w:rFonts w:ascii="Arial" w:eastAsia="Calibri" w:hAnsi="Arial" w:cs="Arial"/>
          <w:b/>
          <w:szCs w:val="20"/>
        </w:rPr>
      </w:pPr>
      <w:r w:rsidRPr="00507C12">
        <w:rPr>
          <w:rFonts w:ascii="Arial" w:eastAsia="Calibri" w:hAnsi="Arial" w:cs="Arial"/>
          <w:b/>
          <w:szCs w:val="20"/>
        </w:rPr>
        <w:t>Employee Benefits</w:t>
      </w:r>
    </w:p>
    <w:p w14:paraId="176226D5" w14:textId="77777777" w:rsidR="0061572D" w:rsidRPr="00507C12" w:rsidRDefault="0061572D" w:rsidP="0061572D">
      <w:pPr>
        <w:spacing w:after="0"/>
        <w:rPr>
          <w:rFonts w:ascii="Arial" w:eastAsia="Calibri" w:hAnsi="Arial" w:cs="Arial"/>
          <w:b/>
          <w:szCs w:val="20"/>
        </w:rPr>
      </w:pPr>
      <w:r w:rsidRPr="00507C12">
        <w:rPr>
          <w:rFonts w:ascii="Arial" w:eastAsia="Calibri" w:hAnsi="Arial" w:cs="Arial"/>
          <w:b/>
          <w:szCs w:val="20"/>
        </w:rPr>
        <w:t xml:space="preserve"> </w:t>
      </w:r>
    </w:p>
    <w:p w14:paraId="2B788129"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Benefits Payable during Employment</w:t>
      </w:r>
    </w:p>
    <w:p w14:paraId="48FFDC2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Short-term employee benefits are those due to be settled within 12 months of the year end.  They include such benefits as wages and salaries, paid annual leave, paid sick leave and bonuses for current employees.  These are recognised as an expense for services in the year in which employees render service to the Council.  </w:t>
      </w:r>
    </w:p>
    <w:p w14:paraId="1AAECC32" w14:textId="77777777" w:rsidR="0061572D" w:rsidRPr="00507C12" w:rsidRDefault="0061572D" w:rsidP="0061572D">
      <w:pPr>
        <w:spacing w:after="0"/>
        <w:rPr>
          <w:rFonts w:ascii="Arial" w:eastAsia="Times New Roman" w:hAnsi="Arial" w:cs="Arial"/>
          <w:szCs w:val="20"/>
          <w:lang w:eastAsia="en-GB"/>
        </w:rPr>
      </w:pPr>
    </w:p>
    <w:p w14:paraId="3EDC5AD4"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An accrual is made for the cost of holiday entitlements (or any form of leave, for example, time off in lieu) earned by employees but not taken before the year end which employees can carry forward into the next financial year.  The accrual is made at the wage and salary rates applicable in the following financial year, being the period in which the employee takes the benefit.</w:t>
      </w:r>
    </w:p>
    <w:p w14:paraId="2695477E" w14:textId="77777777" w:rsidR="0061572D" w:rsidRPr="00507C12" w:rsidRDefault="0061572D" w:rsidP="0061572D">
      <w:pPr>
        <w:spacing w:after="0"/>
        <w:rPr>
          <w:rFonts w:ascii="Arial" w:eastAsia="Times New Roman" w:hAnsi="Arial" w:cs="Arial"/>
          <w:szCs w:val="20"/>
          <w:lang w:eastAsia="en-GB"/>
        </w:rPr>
      </w:pPr>
    </w:p>
    <w:p w14:paraId="47E46365"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accrual is charged to surplus/deficit on the Provision of Services, but then reversed out through the Movement in Reserves Statement so that holiday entitlements are charged to revenue in the financial year in which the holiday absence occurs.</w:t>
      </w:r>
    </w:p>
    <w:p w14:paraId="1FC6037E" w14:textId="77777777" w:rsidR="0061572D" w:rsidRPr="00507C12" w:rsidRDefault="0061572D" w:rsidP="0061572D">
      <w:pPr>
        <w:spacing w:after="0"/>
        <w:rPr>
          <w:rFonts w:ascii="Arial" w:eastAsia="Times New Roman" w:hAnsi="Arial" w:cs="Arial"/>
          <w:szCs w:val="20"/>
          <w:lang w:eastAsia="en-GB"/>
        </w:rPr>
      </w:pPr>
    </w:p>
    <w:p w14:paraId="0A80BE89"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Termination Benefits</w:t>
      </w:r>
    </w:p>
    <w:p w14:paraId="081A455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Termination benefits are amounts payable as a result of a decision by the Council to terminate an officer’s employment before the normal retirement date or an officer’s decision to accept voluntary redundancy in exchange for those benefits and are charged on an accruals basis to the appropriate service segment or, where applicable, to a corporate service segment at the earlier of when the Council can no longer withdraw the offer of those benefits or when the Council recognises costs for a restructuring.</w:t>
      </w:r>
    </w:p>
    <w:p w14:paraId="72E3F871" w14:textId="77777777" w:rsidR="0061572D" w:rsidRPr="00507C12" w:rsidRDefault="0061572D" w:rsidP="0061572D">
      <w:pPr>
        <w:spacing w:after="0"/>
        <w:rPr>
          <w:rFonts w:ascii="Arial" w:eastAsia="Times New Roman" w:hAnsi="Arial" w:cs="Arial"/>
          <w:szCs w:val="20"/>
          <w:lang w:eastAsia="en-GB"/>
        </w:rPr>
      </w:pPr>
    </w:p>
    <w:p w14:paraId="2EBF0A54"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termination benefits involve the enhancement of pensions, statutory provisions require the General Fund Balance to be charged with the amount payable by the Council to the pension fund or pensioner in the year, not the amount calculated according to the relevant accounting standards.  In the Movement in Reserves Statement, appropriations are required to and from the Pension Reserve to remove the notional debits and credits for pension enhancement termination benefits and replace them with debits for the cash paid to the pension fund and pensioners and any such amounts payable but unpaid at the year end.</w:t>
      </w:r>
    </w:p>
    <w:p w14:paraId="69F2316D" w14:textId="77777777" w:rsidR="0061572D" w:rsidRPr="00507C12" w:rsidRDefault="0061572D" w:rsidP="0061572D">
      <w:pPr>
        <w:spacing w:after="0"/>
        <w:rPr>
          <w:rFonts w:ascii="Arial" w:eastAsia="Times New Roman" w:hAnsi="Arial" w:cs="Arial"/>
          <w:szCs w:val="20"/>
          <w:lang w:eastAsia="en-GB"/>
        </w:rPr>
      </w:pPr>
    </w:p>
    <w:p w14:paraId="0B5F0056"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b/>
          <w:szCs w:val="20"/>
          <w:lang w:eastAsia="en-GB"/>
        </w:rPr>
        <w:t>Post-Employment Benefits</w:t>
      </w:r>
    </w:p>
    <w:p w14:paraId="569C9FA2"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Employees of the Council are Members of The Local Government Pensions Scheme, administered by Nottinghamshire County Council.  The scheme provides defined benefits to Members (retirement lump sums and pensions) earned as employees worked for the Council.</w:t>
      </w:r>
    </w:p>
    <w:p w14:paraId="51A4F320" w14:textId="77777777" w:rsidR="0061572D" w:rsidRPr="00507C12" w:rsidRDefault="0061572D" w:rsidP="0061572D">
      <w:pPr>
        <w:spacing w:after="0"/>
        <w:rPr>
          <w:rFonts w:ascii="Arial" w:eastAsia="Times New Roman" w:hAnsi="Arial" w:cs="Arial"/>
          <w:szCs w:val="20"/>
          <w:lang w:eastAsia="en-GB"/>
        </w:rPr>
      </w:pPr>
    </w:p>
    <w:p w14:paraId="400FF455"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The Local Government Pension Scheme</w:t>
      </w:r>
    </w:p>
    <w:p w14:paraId="3F1D355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Local Government Scheme is accounted for as a defined benefits scheme:</w:t>
      </w:r>
    </w:p>
    <w:p w14:paraId="5E937FD3" w14:textId="0009971C" w:rsidR="0061572D" w:rsidRPr="00507C12" w:rsidRDefault="0061572D" w:rsidP="0061572D">
      <w:pPr>
        <w:pStyle w:val="ListParagraph"/>
        <w:numPr>
          <w:ilvl w:val="0"/>
          <w:numId w:val="11"/>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liabilities of the Nottinghamshire County Council pension fund attributable to the Council are included in the Balance Sheet on an actuarial basis using the projected unit method, that is an assessment of the future payments that will be made in relation to retirement benefits earned to date by employees, based on assumptions </w:t>
      </w:r>
      <w:r w:rsidR="00BA3A23">
        <w:rPr>
          <w:rFonts w:ascii="Arial" w:eastAsia="Times New Roman" w:hAnsi="Arial" w:cs="Arial"/>
          <w:szCs w:val="20"/>
          <w:lang w:eastAsia="en-GB"/>
        </w:rPr>
        <w:t>made, for example</w:t>
      </w:r>
      <w:r w:rsidRPr="00507C12">
        <w:rPr>
          <w:rFonts w:ascii="Arial" w:eastAsia="Times New Roman" w:hAnsi="Arial" w:cs="Arial"/>
          <w:szCs w:val="20"/>
          <w:lang w:eastAsia="en-GB"/>
        </w:rPr>
        <w:t xml:space="preserve"> mortality rates</w:t>
      </w:r>
      <w:r w:rsidR="00BA3A23">
        <w:rPr>
          <w:rFonts w:ascii="Arial" w:eastAsia="Times New Roman" w:hAnsi="Arial" w:cs="Arial"/>
          <w:szCs w:val="20"/>
          <w:lang w:eastAsia="en-GB"/>
        </w:rPr>
        <w:t xml:space="preserve"> and</w:t>
      </w:r>
      <w:r w:rsidRPr="00507C12">
        <w:rPr>
          <w:rFonts w:ascii="Arial" w:eastAsia="Times New Roman" w:hAnsi="Arial" w:cs="Arial"/>
          <w:szCs w:val="20"/>
          <w:lang w:eastAsia="en-GB"/>
        </w:rPr>
        <w:t xml:space="preserve"> employee turnover rates</w:t>
      </w:r>
      <w:r w:rsidR="00BA3A23">
        <w:rPr>
          <w:rFonts w:ascii="Arial" w:eastAsia="Times New Roman" w:hAnsi="Arial" w:cs="Arial"/>
          <w:szCs w:val="20"/>
          <w:lang w:eastAsia="en-GB"/>
        </w:rPr>
        <w:t>,</w:t>
      </w:r>
      <w:r w:rsidRPr="00507C12">
        <w:rPr>
          <w:rFonts w:ascii="Arial" w:eastAsia="Times New Roman" w:hAnsi="Arial" w:cs="Arial"/>
          <w:szCs w:val="20"/>
          <w:lang w:eastAsia="en-GB"/>
        </w:rPr>
        <w:t xml:space="preserve"> and projections of earnings for current employees. </w:t>
      </w:r>
    </w:p>
    <w:p w14:paraId="5B9BB737" w14:textId="77777777" w:rsidR="0061572D" w:rsidRPr="00507C12" w:rsidRDefault="0061572D" w:rsidP="0061572D">
      <w:pPr>
        <w:pStyle w:val="ListParagraph"/>
        <w:numPr>
          <w:ilvl w:val="0"/>
          <w:numId w:val="11"/>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Liabilities are discounted to their value at current prices, using a discount rate that reflects the time value of money and the characteristics of the liability.  </w:t>
      </w:r>
    </w:p>
    <w:p w14:paraId="7FD09297" w14:textId="77777777" w:rsidR="0061572D" w:rsidRPr="00507C12" w:rsidRDefault="0061572D" w:rsidP="0061572D">
      <w:pPr>
        <w:pStyle w:val="ListParagraph"/>
        <w:numPr>
          <w:ilvl w:val="0"/>
          <w:numId w:val="11"/>
        </w:numPr>
        <w:spacing w:after="0"/>
        <w:rPr>
          <w:rFonts w:ascii="Arial" w:eastAsia="Times New Roman" w:hAnsi="Arial" w:cs="Arial"/>
          <w:szCs w:val="20"/>
          <w:lang w:eastAsia="en-GB"/>
        </w:rPr>
      </w:pPr>
      <w:r w:rsidRPr="00507C12">
        <w:rPr>
          <w:rFonts w:ascii="Arial" w:eastAsia="Times New Roman" w:hAnsi="Arial" w:cs="Arial"/>
          <w:szCs w:val="20"/>
          <w:lang w:eastAsia="en-GB"/>
        </w:rPr>
        <w:t>The assets of the Nottinghamshire County Council Pension Fund attributable to the Council are included in the Balance Sheet at their fair value:</w:t>
      </w:r>
    </w:p>
    <w:p w14:paraId="7F94B458" w14:textId="77777777" w:rsidR="0061572D" w:rsidRPr="00507C12" w:rsidRDefault="0061572D" w:rsidP="0061572D">
      <w:pPr>
        <w:spacing w:after="0"/>
        <w:rPr>
          <w:rFonts w:ascii="Arial" w:eastAsia="Times New Roman" w:hAnsi="Arial" w:cs="Arial"/>
          <w:szCs w:val="20"/>
          <w:lang w:eastAsia="en-GB"/>
        </w:rPr>
      </w:pPr>
    </w:p>
    <w:p w14:paraId="06D7A02A" w14:textId="77777777" w:rsidR="0061572D" w:rsidRPr="00507C12" w:rsidRDefault="0061572D" w:rsidP="0061572D">
      <w:pPr>
        <w:spacing w:after="0"/>
        <w:ind w:left="426" w:hanging="426"/>
        <w:rPr>
          <w:rFonts w:ascii="Arial" w:eastAsia="Times New Roman" w:hAnsi="Arial" w:cs="Arial"/>
          <w:szCs w:val="20"/>
          <w:lang w:eastAsia="en-GB"/>
        </w:rPr>
      </w:pPr>
    </w:p>
    <w:tbl>
      <w:tblPr>
        <w:tblStyle w:val="TableGrid3"/>
        <w:tblW w:w="6629" w:type="dxa"/>
        <w:jc w:val="center"/>
        <w:tblLook w:val="01E0" w:firstRow="1" w:lastRow="1" w:firstColumn="1" w:lastColumn="1" w:noHBand="0" w:noVBand="0"/>
      </w:tblPr>
      <w:tblGrid>
        <w:gridCol w:w="3369"/>
        <w:gridCol w:w="3260"/>
      </w:tblGrid>
      <w:tr w:rsidR="0061572D" w:rsidRPr="00507C12" w14:paraId="12620ACC" w14:textId="77777777" w:rsidTr="00AC14A4">
        <w:trPr>
          <w:trHeight w:val="227"/>
          <w:jc w:val="center"/>
        </w:trPr>
        <w:tc>
          <w:tcPr>
            <w:tcW w:w="3369" w:type="dxa"/>
          </w:tcPr>
          <w:p w14:paraId="1928190B" w14:textId="77777777" w:rsidR="0061572D" w:rsidRPr="00507C12" w:rsidRDefault="0061572D" w:rsidP="00AC14A4">
            <w:pPr>
              <w:spacing w:after="60"/>
              <w:rPr>
                <w:rFonts w:ascii="Arial" w:eastAsia="Calibri" w:hAnsi="Arial" w:cs="Arial"/>
                <w:b/>
                <w:szCs w:val="20"/>
                <w:lang w:eastAsia="en-GB"/>
              </w:rPr>
            </w:pPr>
            <w:r w:rsidRPr="00507C12">
              <w:rPr>
                <w:rFonts w:ascii="Arial" w:eastAsia="Calibri" w:hAnsi="Arial" w:cs="Arial"/>
                <w:b/>
                <w:szCs w:val="20"/>
                <w:lang w:eastAsia="en-GB"/>
              </w:rPr>
              <w:t>Asset Category</w:t>
            </w:r>
          </w:p>
        </w:tc>
        <w:tc>
          <w:tcPr>
            <w:tcW w:w="3260" w:type="dxa"/>
          </w:tcPr>
          <w:p w14:paraId="32556DCC" w14:textId="77777777" w:rsidR="0061572D" w:rsidRPr="00507C12" w:rsidRDefault="0061572D" w:rsidP="00AC14A4">
            <w:pPr>
              <w:spacing w:after="60"/>
              <w:rPr>
                <w:rFonts w:ascii="Arial" w:eastAsia="Calibri" w:hAnsi="Arial" w:cs="Arial"/>
                <w:b/>
                <w:szCs w:val="20"/>
                <w:lang w:eastAsia="en-GB"/>
              </w:rPr>
            </w:pPr>
            <w:r w:rsidRPr="00507C12">
              <w:rPr>
                <w:rFonts w:ascii="Arial" w:eastAsia="Calibri" w:hAnsi="Arial" w:cs="Arial"/>
                <w:b/>
                <w:szCs w:val="20"/>
                <w:lang w:eastAsia="en-GB"/>
              </w:rPr>
              <w:t>Basis of Valuation</w:t>
            </w:r>
          </w:p>
        </w:tc>
      </w:tr>
      <w:tr w:rsidR="0061572D" w:rsidRPr="00507C12" w14:paraId="3F7E9C2A" w14:textId="77777777" w:rsidTr="00AC14A4">
        <w:trPr>
          <w:trHeight w:val="227"/>
          <w:jc w:val="center"/>
        </w:trPr>
        <w:tc>
          <w:tcPr>
            <w:tcW w:w="3369" w:type="dxa"/>
          </w:tcPr>
          <w:p w14:paraId="5644E5DC"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Quoted Securities</w:t>
            </w:r>
          </w:p>
        </w:tc>
        <w:tc>
          <w:tcPr>
            <w:tcW w:w="3260" w:type="dxa"/>
          </w:tcPr>
          <w:p w14:paraId="2C331A24"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Current bid price</w:t>
            </w:r>
          </w:p>
        </w:tc>
      </w:tr>
      <w:tr w:rsidR="0061572D" w:rsidRPr="00507C12" w14:paraId="51FC8006" w14:textId="77777777" w:rsidTr="00AC14A4">
        <w:trPr>
          <w:trHeight w:val="227"/>
          <w:jc w:val="center"/>
        </w:trPr>
        <w:tc>
          <w:tcPr>
            <w:tcW w:w="3369" w:type="dxa"/>
          </w:tcPr>
          <w:p w14:paraId="7739BCDD"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Unquoted Securities</w:t>
            </w:r>
          </w:p>
        </w:tc>
        <w:tc>
          <w:tcPr>
            <w:tcW w:w="3260" w:type="dxa"/>
          </w:tcPr>
          <w:p w14:paraId="7D0F60AB"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Professional estimate</w:t>
            </w:r>
          </w:p>
        </w:tc>
      </w:tr>
      <w:tr w:rsidR="0061572D" w:rsidRPr="00507C12" w14:paraId="3DDABE4D" w14:textId="77777777" w:rsidTr="00AC14A4">
        <w:trPr>
          <w:trHeight w:val="227"/>
          <w:jc w:val="center"/>
        </w:trPr>
        <w:tc>
          <w:tcPr>
            <w:tcW w:w="3369" w:type="dxa"/>
          </w:tcPr>
          <w:p w14:paraId="5EC8426A"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Property</w:t>
            </w:r>
          </w:p>
        </w:tc>
        <w:tc>
          <w:tcPr>
            <w:tcW w:w="3260" w:type="dxa"/>
          </w:tcPr>
          <w:p w14:paraId="43A8CD5A"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Market value</w:t>
            </w:r>
          </w:p>
        </w:tc>
      </w:tr>
      <w:tr w:rsidR="0061572D" w:rsidRPr="00507C12" w14:paraId="00F142A5" w14:textId="77777777" w:rsidTr="00AC14A4">
        <w:trPr>
          <w:trHeight w:val="227"/>
          <w:jc w:val="center"/>
        </w:trPr>
        <w:tc>
          <w:tcPr>
            <w:tcW w:w="3369" w:type="dxa"/>
          </w:tcPr>
          <w:p w14:paraId="0BC36A31"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Unitised Securities</w:t>
            </w:r>
          </w:p>
        </w:tc>
        <w:tc>
          <w:tcPr>
            <w:tcW w:w="3260" w:type="dxa"/>
          </w:tcPr>
          <w:p w14:paraId="62CD8196" w14:textId="77777777" w:rsidR="0061572D" w:rsidRPr="00507C12" w:rsidRDefault="0061572D" w:rsidP="00AC14A4">
            <w:pPr>
              <w:spacing w:after="60"/>
              <w:rPr>
                <w:rFonts w:ascii="Arial" w:eastAsia="Calibri" w:hAnsi="Arial" w:cs="Arial"/>
                <w:szCs w:val="20"/>
                <w:lang w:eastAsia="en-GB"/>
              </w:rPr>
            </w:pPr>
            <w:r w:rsidRPr="00507C12">
              <w:rPr>
                <w:rFonts w:ascii="Arial" w:eastAsia="Calibri" w:hAnsi="Arial" w:cs="Arial"/>
                <w:szCs w:val="20"/>
                <w:lang w:eastAsia="en-GB"/>
              </w:rPr>
              <w:t>Current bid price</w:t>
            </w:r>
          </w:p>
        </w:tc>
      </w:tr>
    </w:tbl>
    <w:p w14:paraId="42965DAD" w14:textId="77777777" w:rsidR="0061572D" w:rsidRPr="00507C12" w:rsidRDefault="0061572D" w:rsidP="0061572D">
      <w:pPr>
        <w:spacing w:after="0"/>
        <w:rPr>
          <w:rFonts w:ascii="Arial" w:eastAsia="Times New Roman" w:hAnsi="Arial" w:cs="Arial"/>
          <w:szCs w:val="20"/>
          <w:lang w:eastAsia="en-GB"/>
        </w:rPr>
      </w:pPr>
    </w:p>
    <w:p w14:paraId="1D94965C"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change in the net pension liability is analysed into the following components:</w:t>
      </w:r>
    </w:p>
    <w:p w14:paraId="68590490" w14:textId="77777777" w:rsidR="0061572D" w:rsidRPr="00507C12" w:rsidRDefault="0061572D" w:rsidP="0061572D">
      <w:pPr>
        <w:spacing w:after="0"/>
        <w:rPr>
          <w:rFonts w:ascii="Arial" w:eastAsia="Times New Roman" w:hAnsi="Arial" w:cs="Arial"/>
          <w:b/>
          <w:szCs w:val="20"/>
          <w:lang w:eastAsia="en-GB"/>
        </w:rPr>
      </w:pPr>
    </w:p>
    <w:p w14:paraId="3A10EA8B"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b/>
          <w:szCs w:val="20"/>
          <w:lang w:eastAsia="en-GB"/>
        </w:rPr>
        <w:t>Service cost comprising:</w:t>
      </w:r>
    </w:p>
    <w:p w14:paraId="3602B55B" w14:textId="4B18D2E3" w:rsidR="0061572D" w:rsidRDefault="0061572D" w:rsidP="0061572D">
      <w:pPr>
        <w:pStyle w:val="ListParagraph"/>
        <w:numPr>
          <w:ilvl w:val="0"/>
          <w:numId w:val="12"/>
        </w:numPr>
        <w:spacing w:after="120"/>
        <w:rPr>
          <w:rFonts w:ascii="Arial" w:eastAsia="Times New Roman" w:hAnsi="Arial" w:cs="Arial"/>
          <w:szCs w:val="20"/>
          <w:lang w:eastAsia="en-GB"/>
        </w:rPr>
      </w:pPr>
      <w:r w:rsidRPr="00507C12">
        <w:rPr>
          <w:rFonts w:ascii="Arial" w:eastAsia="Times New Roman" w:hAnsi="Arial" w:cs="Arial"/>
          <w:szCs w:val="20"/>
          <w:lang w:eastAsia="en-GB"/>
        </w:rPr>
        <w:t>Current Service Cost - The increase in liabilities as a result of years of service earned this year; allocated in the Comprehensive Income and Expenditure Statement to the revenue accounts of services for which the employees worked.</w:t>
      </w:r>
    </w:p>
    <w:p w14:paraId="125F2AEE" w14:textId="77777777" w:rsidR="0094742F" w:rsidRPr="00507C12" w:rsidRDefault="0094742F" w:rsidP="0094742F">
      <w:pPr>
        <w:pStyle w:val="ListParagraph"/>
        <w:spacing w:after="120"/>
        <w:rPr>
          <w:rFonts w:ascii="Arial" w:eastAsia="Times New Roman" w:hAnsi="Arial" w:cs="Arial"/>
          <w:szCs w:val="20"/>
          <w:lang w:eastAsia="en-GB"/>
        </w:rPr>
      </w:pPr>
    </w:p>
    <w:p w14:paraId="528A41D2" w14:textId="39AADC08" w:rsidR="0094742F" w:rsidRDefault="0061572D" w:rsidP="0094742F">
      <w:pPr>
        <w:pStyle w:val="ListParagraph"/>
        <w:numPr>
          <w:ilvl w:val="0"/>
          <w:numId w:val="12"/>
        </w:numPr>
        <w:spacing w:after="120"/>
        <w:rPr>
          <w:rFonts w:ascii="Arial" w:eastAsia="Times New Roman" w:hAnsi="Arial" w:cs="Arial"/>
          <w:szCs w:val="20"/>
          <w:lang w:eastAsia="en-GB"/>
        </w:rPr>
      </w:pPr>
      <w:r w:rsidRPr="00507C12">
        <w:rPr>
          <w:rFonts w:ascii="Arial" w:eastAsia="Times New Roman" w:hAnsi="Arial" w:cs="Arial"/>
          <w:szCs w:val="20"/>
          <w:lang w:eastAsia="en-GB"/>
        </w:rPr>
        <w:t xml:space="preserve">Past Service Cost - The increase in liabilities as a result of a scheme amendment or curtailment whose effect relates to years of service earned in earlier years; debited to the Net Cost of Service in the </w:t>
      </w:r>
      <w:r w:rsidR="00CF673E" w:rsidRPr="00507C12">
        <w:rPr>
          <w:rFonts w:ascii="Arial" w:eastAsia="Times New Roman" w:hAnsi="Arial" w:cs="Arial"/>
          <w:szCs w:val="20"/>
          <w:lang w:eastAsia="en-GB"/>
        </w:rPr>
        <w:t>Comprehensive Income</w:t>
      </w:r>
      <w:r w:rsidRPr="00507C12">
        <w:rPr>
          <w:rFonts w:ascii="Arial" w:eastAsia="Times New Roman" w:hAnsi="Arial" w:cs="Arial"/>
          <w:szCs w:val="20"/>
          <w:lang w:eastAsia="en-GB"/>
        </w:rPr>
        <w:t xml:space="preserve"> and Expenditure Statement, as part of non-distributed costs.</w:t>
      </w:r>
    </w:p>
    <w:p w14:paraId="6AC8021C" w14:textId="5E823A29" w:rsidR="0094742F" w:rsidRPr="0094742F" w:rsidRDefault="0094742F" w:rsidP="0094742F">
      <w:pPr>
        <w:spacing w:after="120"/>
        <w:rPr>
          <w:rFonts w:ascii="Arial" w:eastAsia="Times New Roman" w:hAnsi="Arial" w:cs="Arial"/>
          <w:szCs w:val="20"/>
          <w:lang w:eastAsia="en-GB"/>
        </w:rPr>
      </w:pPr>
    </w:p>
    <w:p w14:paraId="54B83512" w14:textId="77777777" w:rsidR="0061572D" w:rsidRPr="00507C12" w:rsidRDefault="0061572D" w:rsidP="0061572D">
      <w:pPr>
        <w:pStyle w:val="ListParagraph"/>
        <w:numPr>
          <w:ilvl w:val="0"/>
          <w:numId w:val="12"/>
        </w:numPr>
        <w:spacing w:after="0"/>
        <w:rPr>
          <w:rFonts w:ascii="Arial" w:eastAsia="Times New Roman" w:hAnsi="Arial" w:cs="Arial"/>
          <w:szCs w:val="20"/>
          <w:lang w:eastAsia="en-GB"/>
        </w:rPr>
      </w:pPr>
      <w:r w:rsidRPr="00507C12">
        <w:rPr>
          <w:rFonts w:ascii="Arial" w:eastAsia="Times New Roman" w:hAnsi="Arial" w:cs="Arial"/>
          <w:szCs w:val="20"/>
          <w:lang w:eastAsia="en-GB"/>
        </w:rPr>
        <w:t>Net interest on the net defined benefit liability (asset); ie net interest expense for the Council, the change during the period in the net defined benefit liability (asset) that arises from the passage of time charged to the Financing and Investment Income and Expenditure line in the Comprehensive Income and Expenditure Statement. This is calculated by applying the discount rate used to measure the defined benefit obligation at the beginning of the period to the net defined liability (asset) at the beginning of the period, taking into account any changes in the net defined benefit liability (asset) during the period as a result of contribution and benefit payments.</w:t>
      </w:r>
    </w:p>
    <w:p w14:paraId="39D8DADE" w14:textId="77777777" w:rsidR="0061572D" w:rsidRPr="00507C12" w:rsidRDefault="0061572D" w:rsidP="0061572D">
      <w:pPr>
        <w:spacing w:after="0"/>
        <w:rPr>
          <w:rFonts w:ascii="Arial" w:eastAsia="Times New Roman" w:hAnsi="Arial" w:cs="Arial"/>
          <w:b/>
          <w:szCs w:val="20"/>
          <w:lang w:eastAsia="en-GB"/>
        </w:rPr>
      </w:pPr>
    </w:p>
    <w:p w14:paraId="4F513CA1"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Re-measurement comprising:</w:t>
      </w:r>
    </w:p>
    <w:p w14:paraId="7A8FDF5A" w14:textId="44FE2CFB" w:rsidR="0061572D" w:rsidRDefault="0061572D" w:rsidP="0061572D">
      <w:pPr>
        <w:pStyle w:val="ListParagraph"/>
        <w:numPr>
          <w:ilvl w:val="0"/>
          <w:numId w:val="13"/>
        </w:numPr>
        <w:spacing w:after="0"/>
        <w:rPr>
          <w:rFonts w:ascii="Arial" w:eastAsia="Times New Roman" w:hAnsi="Arial" w:cs="Arial"/>
          <w:szCs w:val="20"/>
          <w:lang w:eastAsia="en-GB"/>
        </w:rPr>
      </w:pPr>
      <w:r w:rsidRPr="00507C12">
        <w:rPr>
          <w:rFonts w:ascii="Arial" w:eastAsia="Times New Roman" w:hAnsi="Arial" w:cs="Arial"/>
          <w:szCs w:val="20"/>
          <w:lang w:eastAsia="en-GB"/>
        </w:rPr>
        <w:t>The return on plan assets – excluding amounts included in net interest on the net defined benefit liability (asset) – charged to the Pensions Reserve as Other Comprehensive Income and Expenditure.</w:t>
      </w:r>
    </w:p>
    <w:p w14:paraId="66107D36" w14:textId="77777777" w:rsidR="0094742F" w:rsidRPr="00507C12" w:rsidRDefault="0094742F" w:rsidP="0094742F">
      <w:pPr>
        <w:pStyle w:val="ListParagraph"/>
        <w:spacing w:after="0"/>
        <w:rPr>
          <w:rFonts w:ascii="Arial" w:eastAsia="Times New Roman" w:hAnsi="Arial" w:cs="Arial"/>
          <w:szCs w:val="20"/>
          <w:lang w:eastAsia="en-GB"/>
        </w:rPr>
      </w:pPr>
    </w:p>
    <w:p w14:paraId="7C786AFD" w14:textId="21A06D44" w:rsidR="0061572D" w:rsidRDefault="0061572D" w:rsidP="0061572D">
      <w:pPr>
        <w:pStyle w:val="ListParagraph"/>
        <w:numPr>
          <w:ilvl w:val="0"/>
          <w:numId w:val="13"/>
        </w:numPr>
        <w:spacing w:after="0"/>
        <w:rPr>
          <w:rFonts w:ascii="Arial" w:eastAsia="Times New Roman" w:hAnsi="Arial" w:cs="Arial"/>
          <w:szCs w:val="20"/>
          <w:lang w:eastAsia="en-GB"/>
        </w:rPr>
      </w:pPr>
      <w:r w:rsidRPr="00507C12">
        <w:rPr>
          <w:rFonts w:ascii="Arial" w:eastAsia="Times New Roman" w:hAnsi="Arial" w:cs="Arial"/>
          <w:szCs w:val="20"/>
          <w:lang w:eastAsia="en-GB"/>
        </w:rPr>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w:t>
      </w:r>
    </w:p>
    <w:p w14:paraId="228C8BB8" w14:textId="5363AF53" w:rsidR="0094742F" w:rsidRPr="0094742F" w:rsidRDefault="0094742F" w:rsidP="0094742F">
      <w:pPr>
        <w:spacing w:after="0"/>
        <w:rPr>
          <w:rFonts w:ascii="Arial" w:eastAsia="Times New Roman" w:hAnsi="Arial" w:cs="Arial"/>
          <w:szCs w:val="20"/>
          <w:lang w:eastAsia="en-GB"/>
        </w:rPr>
      </w:pPr>
    </w:p>
    <w:p w14:paraId="32AD704F" w14:textId="77777777" w:rsidR="0061572D" w:rsidRPr="00507C12" w:rsidRDefault="0061572D" w:rsidP="0061572D">
      <w:pPr>
        <w:pStyle w:val="ListParagraph"/>
        <w:numPr>
          <w:ilvl w:val="0"/>
          <w:numId w:val="13"/>
        </w:numPr>
        <w:spacing w:after="0"/>
        <w:rPr>
          <w:rFonts w:ascii="Arial" w:eastAsia="Times New Roman" w:hAnsi="Arial" w:cs="Arial"/>
          <w:szCs w:val="20"/>
          <w:lang w:eastAsia="en-GB"/>
        </w:rPr>
      </w:pPr>
      <w:r w:rsidRPr="00507C12">
        <w:rPr>
          <w:rFonts w:ascii="Arial" w:eastAsia="Times New Roman" w:hAnsi="Arial" w:cs="Arial"/>
          <w:szCs w:val="20"/>
          <w:lang w:eastAsia="en-GB"/>
        </w:rPr>
        <w:t>Contributions paid to the Nottinghamshire County Council pension fund – cash paid as employer’s contributions to the pension fund in settlement of liabilities; not accounted for as an expense.</w:t>
      </w:r>
    </w:p>
    <w:p w14:paraId="02DCE265" w14:textId="77777777" w:rsidR="0061572D" w:rsidRPr="00507C12" w:rsidRDefault="0061572D" w:rsidP="0061572D">
      <w:pPr>
        <w:spacing w:after="0"/>
        <w:rPr>
          <w:rFonts w:ascii="Arial" w:eastAsia="Times New Roman" w:hAnsi="Arial" w:cs="Arial"/>
          <w:szCs w:val="20"/>
          <w:lang w:eastAsia="en-GB"/>
        </w:rPr>
      </w:pPr>
    </w:p>
    <w:p w14:paraId="6EE5F569"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In relation to retirement benefits, statutory provisions require the General Fund Balance to be charged with the amount payable by the Council to the pension fund or directly to pensioners in the year, not the amount calculated according to the relevant accounting standards.  </w:t>
      </w:r>
    </w:p>
    <w:p w14:paraId="0704AA3F" w14:textId="77777777" w:rsidR="0061572D" w:rsidRPr="00507C12" w:rsidRDefault="0061572D" w:rsidP="0061572D">
      <w:pPr>
        <w:spacing w:after="0"/>
        <w:rPr>
          <w:rFonts w:ascii="Arial" w:eastAsia="Times New Roman" w:hAnsi="Arial" w:cs="Arial"/>
          <w:szCs w:val="20"/>
          <w:lang w:eastAsia="en-GB"/>
        </w:rPr>
      </w:pPr>
    </w:p>
    <w:p w14:paraId="5903E90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In the Movement in Reserves Statement, this means that there are transfers to and from the Pension Reserve to remove the notional debits and credits for retirement benefits and replace them with debits for the cash paid to the pension fund and pensioners and any such amounts payable but unpaid at the year end.  The negative balance that arises on the Pension Reserve thereby measures the beneficial impact to the General Fund of being required to account for retirement benefits on the basis of cash flows rather than as the benefits are earned by employees.</w:t>
      </w:r>
    </w:p>
    <w:p w14:paraId="0610CACE" w14:textId="77777777" w:rsidR="0061572D" w:rsidRPr="00507C12" w:rsidRDefault="0061572D" w:rsidP="0061572D">
      <w:pPr>
        <w:spacing w:after="0"/>
        <w:rPr>
          <w:rFonts w:ascii="Arial" w:eastAsia="Times New Roman" w:hAnsi="Arial" w:cs="Arial"/>
          <w:szCs w:val="20"/>
          <w:lang w:eastAsia="en-GB"/>
        </w:rPr>
      </w:pPr>
    </w:p>
    <w:p w14:paraId="4D40F8F5"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Discretionary Benefits</w:t>
      </w:r>
    </w:p>
    <w:p w14:paraId="509BAAB7"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Council also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Local Government Pension Scheme.</w:t>
      </w:r>
    </w:p>
    <w:p w14:paraId="7EF114E7" w14:textId="77777777" w:rsidR="0061572D" w:rsidRPr="00507C12" w:rsidRDefault="0061572D" w:rsidP="0061572D">
      <w:pPr>
        <w:spacing w:after="0"/>
        <w:rPr>
          <w:rFonts w:ascii="Arial" w:eastAsia="Times New Roman" w:hAnsi="Arial" w:cs="Arial"/>
          <w:szCs w:val="20"/>
          <w:lang w:eastAsia="en-GB"/>
        </w:rPr>
      </w:pPr>
    </w:p>
    <w:p w14:paraId="01BBEDBD" w14:textId="77777777" w:rsidR="0061572D" w:rsidRPr="00507C12" w:rsidRDefault="0061572D" w:rsidP="0061572D">
      <w:pPr>
        <w:pStyle w:val="ListParagraph"/>
        <w:numPr>
          <w:ilvl w:val="0"/>
          <w:numId w:val="5"/>
        </w:numPr>
        <w:tabs>
          <w:tab w:val="left" w:pos="567"/>
        </w:tabs>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Events after the Reporting Period</w:t>
      </w:r>
    </w:p>
    <w:p w14:paraId="219C1D0A" w14:textId="77777777" w:rsidR="0061572D" w:rsidRPr="00507C12" w:rsidRDefault="0061572D" w:rsidP="0061572D">
      <w:pPr>
        <w:spacing w:after="0"/>
        <w:outlineLvl w:val="0"/>
        <w:rPr>
          <w:rFonts w:ascii="Arial" w:eastAsia="Times New Roman" w:hAnsi="Arial" w:cs="Arial"/>
          <w:b/>
          <w:szCs w:val="20"/>
          <w:lang w:eastAsia="en-GB"/>
        </w:rPr>
      </w:pPr>
    </w:p>
    <w:p w14:paraId="7D12D702" w14:textId="77777777" w:rsidR="0061572D" w:rsidRPr="00507C12" w:rsidRDefault="0061572D" w:rsidP="0061572D">
      <w:p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Events after the Balance Sheet date are those events, both favourable and unfavourable, that occur between the end of the reporting period and the date when the Statement of Accounts is authorised for issue.  Two types of events can be identified:</w:t>
      </w:r>
    </w:p>
    <w:p w14:paraId="56CF586B" w14:textId="3249F5A5" w:rsidR="0061572D" w:rsidRDefault="0061572D" w:rsidP="0061572D">
      <w:pPr>
        <w:pStyle w:val="ListParagraph"/>
        <w:numPr>
          <w:ilvl w:val="0"/>
          <w:numId w:val="14"/>
        </w:num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those that provide evidence of conditions that existed at the end of the reporting period – the Statement of Accounts is adjusted to reflect such events</w:t>
      </w:r>
    </w:p>
    <w:p w14:paraId="5A618365" w14:textId="77777777" w:rsidR="0094742F" w:rsidRPr="00507C12" w:rsidRDefault="0094742F" w:rsidP="0094742F">
      <w:pPr>
        <w:pStyle w:val="ListParagraph"/>
        <w:spacing w:after="0"/>
        <w:outlineLvl w:val="0"/>
        <w:rPr>
          <w:rFonts w:ascii="Arial" w:eastAsia="Times New Roman" w:hAnsi="Arial" w:cs="Arial"/>
          <w:szCs w:val="20"/>
          <w:lang w:eastAsia="en-GB"/>
        </w:rPr>
      </w:pPr>
    </w:p>
    <w:p w14:paraId="6B7FE1E7" w14:textId="77777777" w:rsidR="0061572D" w:rsidRPr="00507C12" w:rsidRDefault="0061572D" w:rsidP="0061572D">
      <w:pPr>
        <w:pStyle w:val="ListParagraph"/>
        <w:numPr>
          <w:ilvl w:val="0"/>
          <w:numId w:val="14"/>
        </w:num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14:paraId="240A3D60" w14:textId="77777777" w:rsidR="0061572D" w:rsidRPr="00507C12" w:rsidRDefault="0061572D" w:rsidP="0061572D">
      <w:pPr>
        <w:spacing w:after="0"/>
        <w:rPr>
          <w:rFonts w:ascii="Arial" w:eastAsia="Times New Roman" w:hAnsi="Arial" w:cs="Arial"/>
          <w:szCs w:val="20"/>
          <w:lang w:eastAsia="en-GB"/>
        </w:rPr>
      </w:pPr>
    </w:p>
    <w:p w14:paraId="37E1596D"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Events taking place after the date of authorisation for issue are not reflected in the Statement of Accounts.</w:t>
      </w:r>
    </w:p>
    <w:p w14:paraId="5B30845C" w14:textId="77777777" w:rsidR="0061572D" w:rsidRPr="00507C12" w:rsidRDefault="0061572D" w:rsidP="0061572D">
      <w:pPr>
        <w:spacing w:after="0"/>
        <w:rPr>
          <w:rFonts w:ascii="Arial" w:eastAsia="Times New Roman" w:hAnsi="Arial" w:cs="Arial"/>
          <w:b/>
          <w:szCs w:val="20"/>
          <w:lang w:eastAsia="en-GB"/>
        </w:rPr>
      </w:pPr>
    </w:p>
    <w:p w14:paraId="6F52AE7C" w14:textId="77777777" w:rsidR="0061572D" w:rsidRPr="00507C12" w:rsidRDefault="0061572D" w:rsidP="0061572D">
      <w:pPr>
        <w:pStyle w:val="ListParagraph"/>
        <w:numPr>
          <w:ilvl w:val="0"/>
          <w:numId w:val="5"/>
        </w:numPr>
        <w:spacing w:after="0"/>
        <w:ind w:left="0" w:firstLine="0"/>
        <w:rPr>
          <w:rFonts w:ascii="Arial" w:eastAsia="Calibri" w:hAnsi="Arial" w:cs="Arial"/>
          <w:b/>
          <w:szCs w:val="20"/>
        </w:rPr>
      </w:pPr>
      <w:r w:rsidRPr="00507C12">
        <w:rPr>
          <w:rFonts w:ascii="Arial" w:eastAsia="Calibri" w:hAnsi="Arial" w:cs="Arial"/>
          <w:b/>
          <w:szCs w:val="20"/>
        </w:rPr>
        <w:t>Financial Instruments</w:t>
      </w:r>
    </w:p>
    <w:p w14:paraId="51FCCEEB" w14:textId="77777777" w:rsidR="0061572D" w:rsidRPr="00507C12" w:rsidRDefault="0061572D" w:rsidP="0061572D">
      <w:pPr>
        <w:spacing w:after="0"/>
        <w:rPr>
          <w:rFonts w:ascii="Arial" w:eastAsia="Calibri" w:hAnsi="Arial" w:cs="Arial"/>
          <w:b/>
          <w:szCs w:val="20"/>
        </w:rPr>
      </w:pPr>
    </w:p>
    <w:p w14:paraId="6A9B0195"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Financial Liabilities</w:t>
      </w:r>
    </w:p>
    <w:p w14:paraId="5798A6C4"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Financial liabilities are recognised on the Balance Sheet when the Council becomes a party to the contractual provisions of a financial instrument and are initially measured at fair value and carried at their amortised cost.  Annual charges to the Financing and Investment Income and Expenditure line in the Comprehensive Income and Expenditure Statement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w:t>
      </w:r>
    </w:p>
    <w:p w14:paraId="16428DCA" w14:textId="77777777" w:rsidR="0061572D" w:rsidRPr="00507C12" w:rsidRDefault="0061572D" w:rsidP="0061572D">
      <w:pPr>
        <w:spacing w:after="0"/>
        <w:rPr>
          <w:rFonts w:ascii="Arial" w:eastAsia="Times New Roman" w:hAnsi="Arial" w:cs="Arial"/>
          <w:szCs w:val="20"/>
          <w:lang w:eastAsia="en-GB"/>
        </w:rPr>
      </w:pPr>
    </w:p>
    <w:p w14:paraId="12463708"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For most of the borrowings that the Council has this means that the amount presented in the Balance Sheet is the outstanding principal repayable (plus accrued interest); and interest charged to the Comprehensive Income and Expenditure Statement is the amount payable for the year according to the loan agreement.</w:t>
      </w:r>
    </w:p>
    <w:p w14:paraId="2AB9EDAC" w14:textId="77777777" w:rsidR="0061572D" w:rsidRPr="00507C12" w:rsidRDefault="0061572D" w:rsidP="0061572D">
      <w:pPr>
        <w:spacing w:after="0"/>
        <w:rPr>
          <w:rFonts w:ascii="Arial" w:eastAsia="Times New Roman" w:hAnsi="Arial" w:cs="Arial"/>
          <w:szCs w:val="20"/>
          <w:lang w:eastAsia="en-GB"/>
        </w:rPr>
      </w:pPr>
    </w:p>
    <w:p w14:paraId="39DFA911" w14:textId="77777777" w:rsidR="0061572D"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Gains and losses on the repurchase or early settlement of borrowing are credited and debited to the Financing and Investment Income and Expenditure line in the Comprehensive Income and Expenditure Statement in the year of repurchase or settlement.  However, where repurchase has taken place as part of a restructuring of the loan portfolio that involves the modification or exchange of existing instruments, the premium or discount is respectively deducted from or added to the amortised cost of the new or modified loan and the write-down to the Comprehensive Income and Expenditure Statement is spread over the life of the loan by an adjustment to the effective interest rate.</w:t>
      </w:r>
    </w:p>
    <w:p w14:paraId="5465B2E3" w14:textId="77777777" w:rsidR="004D109B" w:rsidRPr="00507C12" w:rsidRDefault="004D109B" w:rsidP="0061572D">
      <w:pPr>
        <w:spacing w:after="0"/>
        <w:rPr>
          <w:rFonts w:ascii="Arial" w:eastAsia="Times New Roman" w:hAnsi="Arial" w:cs="Arial"/>
          <w:szCs w:val="20"/>
          <w:lang w:eastAsia="en-GB"/>
        </w:rPr>
      </w:pPr>
    </w:p>
    <w:p w14:paraId="5C8C93C4"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Financial Assets</w:t>
      </w:r>
    </w:p>
    <w:p w14:paraId="180DB639"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Financial assets are classified based on a classification and measurement approach that reflects the business model for holding the financial assets and their cashflow characteristics.</w:t>
      </w:r>
    </w:p>
    <w:p w14:paraId="6114716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There are three main classes of financial assets measured at:</w:t>
      </w:r>
    </w:p>
    <w:p w14:paraId="684EC425" w14:textId="69FAAC54" w:rsidR="0061572D" w:rsidRDefault="0061572D" w:rsidP="0061572D">
      <w:pPr>
        <w:pStyle w:val="ListParagraph"/>
        <w:numPr>
          <w:ilvl w:val="0"/>
          <w:numId w:val="15"/>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amortised cost </w:t>
      </w:r>
    </w:p>
    <w:p w14:paraId="50B20F45" w14:textId="77777777" w:rsidR="0094742F" w:rsidRPr="00507C12" w:rsidRDefault="0094742F" w:rsidP="0094742F">
      <w:pPr>
        <w:pStyle w:val="ListParagraph"/>
        <w:spacing w:after="0"/>
        <w:ind w:left="1080"/>
        <w:rPr>
          <w:rFonts w:ascii="Arial" w:eastAsia="Times New Roman" w:hAnsi="Arial" w:cs="Arial"/>
          <w:szCs w:val="20"/>
          <w:lang w:eastAsia="en-GB"/>
        </w:rPr>
      </w:pPr>
    </w:p>
    <w:p w14:paraId="30C7AFD6" w14:textId="5A00B477" w:rsidR="0061572D" w:rsidRDefault="0061572D" w:rsidP="0061572D">
      <w:pPr>
        <w:pStyle w:val="ListParagraph"/>
        <w:numPr>
          <w:ilvl w:val="0"/>
          <w:numId w:val="15"/>
        </w:numPr>
        <w:spacing w:after="0"/>
        <w:rPr>
          <w:rFonts w:ascii="Arial" w:eastAsia="Times New Roman" w:hAnsi="Arial" w:cs="Arial"/>
          <w:szCs w:val="20"/>
          <w:lang w:eastAsia="en-GB"/>
        </w:rPr>
      </w:pPr>
      <w:r w:rsidRPr="00507C12">
        <w:rPr>
          <w:rFonts w:ascii="Arial" w:eastAsia="Times New Roman" w:hAnsi="Arial" w:cs="Arial"/>
          <w:szCs w:val="20"/>
          <w:lang w:eastAsia="en-GB"/>
        </w:rPr>
        <w:t>fair value through profit or loss (FVPL), and</w:t>
      </w:r>
    </w:p>
    <w:p w14:paraId="6818105F" w14:textId="1FD6D049" w:rsidR="0094742F" w:rsidRPr="0094742F" w:rsidRDefault="0094742F" w:rsidP="0094742F">
      <w:pPr>
        <w:spacing w:after="0"/>
        <w:rPr>
          <w:rFonts w:ascii="Arial" w:eastAsia="Times New Roman" w:hAnsi="Arial" w:cs="Arial"/>
          <w:szCs w:val="20"/>
          <w:lang w:eastAsia="en-GB"/>
        </w:rPr>
      </w:pPr>
    </w:p>
    <w:p w14:paraId="77B169E6" w14:textId="77777777" w:rsidR="0061572D" w:rsidRPr="00507C12" w:rsidRDefault="0061572D" w:rsidP="0061572D">
      <w:pPr>
        <w:pStyle w:val="ListParagraph"/>
        <w:numPr>
          <w:ilvl w:val="0"/>
          <w:numId w:val="15"/>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fair value through other comprehensive income (FVOCI) </w:t>
      </w:r>
    </w:p>
    <w:p w14:paraId="6C388F7E" w14:textId="77777777" w:rsidR="0061572D" w:rsidRPr="00507C12" w:rsidRDefault="0061572D" w:rsidP="0061572D">
      <w:pPr>
        <w:spacing w:after="0"/>
        <w:rPr>
          <w:rFonts w:ascii="Arial" w:eastAsia="Times New Roman" w:hAnsi="Arial" w:cs="Arial"/>
          <w:szCs w:val="20"/>
          <w:lang w:eastAsia="en-GB"/>
        </w:rPr>
      </w:pPr>
    </w:p>
    <w:p w14:paraId="50E5C730" w14:textId="00DD0D0F" w:rsidR="0061572D" w:rsidRPr="00507C12" w:rsidRDefault="00882CF1" w:rsidP="0061572D">
      <w:pPr>
        <w:spacing w:after="0"/>
        <w:rPr>
          <w:rFonts w:ascii="Arial" w:eastAsia="Times New Roman" w:hAnsi="Arial" w:cs="Arial"/>
          <w:szCs w:val="20"/>
          <w:lang w:eastAsia="en-GB"/>
        </w:rPr>
      </w:pPr>
      <w:r>
        <w:rPr>
          <w:rFonts w:ascii="Arial" w:eastAsia="Times New Roman" w:hAnsi="Arial" w:cs="Arial"/>
          <w:szCs w:val="20"/>
          <w:lang w:eastAsia="en-GB"/>
        </w:rPr>
        <w:t>The council</w:t>
      </w:r>
      <w:r w:rsidR="0061572D" w:rsidRPr="00507C12">
        <w:rPr>
          <w:rFonts w:ascii="Arial" w:eastAsia="Times New Roman" w:hAnsi="Arial" w:cs="Arial"/>
          <w:szCs w:val="20"/>
          <w:lang w:eastAsia="en-GB"/>
        </w:rPr>
        <w:t>’s business model is to hold investments to collect contractual cash flows. Financial assets are therefore classified as amortised cost, except for those whose contractual payments are not solely payment of principal and interest (</w:t>
      </w:r>
      <w:r w:rsidR="007E4DB2">
        <w:rPr>
          <w:rFonts w:ascii="Arial" w:eastAsia="Times New Roman" w:hAnsi="Arial" w:cs="Arial"/>
          <w:szCs w:val="20"/>
          <w:lang w:eastAsia="en-GB"/>
        </w:rPr>
        <w:t>that is,</w:t>
      </w:r>
      <w:r w:rsidR="0061572D" w:rsidRPr="00507C12">
        <w:rPr>
          <w:rFonts w:ascii="Arial" w:eastAsia="Times New Roman" w:hAnsi="Arial" w:cs="Arial"/>
          <w:szCs w:val="20"/>
          <w:lang w:eastAsia="en-GB"/>
        </w:rPr>
        <w:t xml:space="preserve"> where the cash flows do not take the form of a basic debt instrument).</w:t>
      </w:r>
    </w:p>
    <w:p w14:paraId="1A17645E" w14:textId="77777777" w:rsidR="0061572D" w:rsidRPr="00507C12" w:rsidRDefault="0061572D" w:rsidP="0061572D">
      <w:pPr>
        <w:spacing w:after="0"/>
        <w:rPr>
          <w:rFonts w:ascii="Arial" w:eastAsia="Times New Roman" w:hAnsi="Arial" w:cs="Arial"/>
          <w:szCs w:val="20"/>
          <w:lang w:eastAsia="en-GB"/>
        </w:rPr>
      </w:pPr>
    </w:p>
    <w:p w14:paraId="0E721B28"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Financial Assets Measured at Amortised Cost</w:t>
      </w:r>
    </w:p>
    <w:p w14:paraId="4A887910" w14:textId="182FF390"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Financial assets measured at amortised cost are recognised on the Balance Sheet when the </w:t>
      </w:r>
      <w:r w:rsidR="00882CF1">
        <w:rPr>
          <w:rFonts w:ascii="Arial" w:eastAsia="Times New Roman" w:hAnsi="Arial" w:cs="Arial"/>
          <w:szCs w:val="20"/>
          <w:lang w:eastAsia="en-GB"/>
        </w:rPr>
        <w:t>council</w:t>
      </w:r>
      <w:r w:rsidRPr="00507C12">
        <w:rPr>
          <w:rFonts w:ascii="Arial" w:eastAsia="Times New Roman" w:hAnsi="Arial" w:cs="Arial"/>
          <w:szCs w:val="20"/>
          <w:lang w:eastAsia="en-GB"/>
        </w:rPr>
        <w:t xml:space="preserve">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for interest receivable are based on the carrying amount of the asset multiplied by the effective rate of interest for the instrument. For most of the financial assets held by the </w:t>
      </w:r>
      <w:r w:rsidR="00882CF1">
        <w:rPr>
          <w:rFonts w:ascii="Arial" w:eastAsia="Times New Roman" w:hAnsi="Arial" w:cs="Arial"/>
          <w:szCs w:val="20"/>
          <w:lang w:eastAsia="en-GB"/>
        </w:rPr>
        <w:t>council</w:t>
      </w:r>
      <w:r w:rsidRPr="00507C12">
        <w:rPr>
          <w:rFonts w:ascii="Arial" w:eastAsia="Times New Roman" w:hAnsi="Arial" w:cs="Arial"/>
          <w:szCs w:val="20"/>
          <w:lang w:eastAsia="en-GB"/>
        </w:rPr>
        <w:t xml:space="preserve">, this means that the amount presented in the Balance Sheet is the outstanding principal receivable (plus accrued interest) and interest credited to the </w:t>
      </w:r>
      <w:r w:rsidR="007E4DB2" w:rsidRPr="00507C12">
        <w:rPr>
          <w:rFonts w:ascii="Arial" w:eastAsia="Times New Roman" w:hAnsi="Arial" w:cs="Arial"/>
          <w:szCs w:val="20"/>
          <w:lang w:eastAsia="en-GB"/>
        </w:rPr>
        <w:t xml:space="preserve">Comprehensive Income and Expenditure Statement </w:t>
      </w:r>
      <w:r w:rsidRPr="00507C12">
        <w:rPr>
          <w:rFonts w:ascii="Arial" w:eastAsia="Times New Roman" w:hAnsi="Arial" w:cs="Arial"/>
          <w:szCs w:val="20"/>
          <w:lang w:eastAsia="en-GB"/>
        </w:rPr>
        <w:t>is the amount receivable for the year in the loan agreement.</w:t>
      </w:r>
    </w:p>
    <w:p w14:paraId="7099491B" w14:textId="77777777" w:rsidR="0061572D" w:rsidRPr="00507C12" w:rsidRDefault="0061572D" w:rsidP="0061572D">
      <w:pPr>
        <w:spacing w:after="0"/>
        <w:rPr>
          <w:rFonts w:ascii="Arial" w:eastAsia="Times New Roman" w:hAnsi="Arial" w:cs="Arial"/>
          <w:szCs w:val="20"/>
          <w:lang w:eastAsia="en-GB"/>
        </w:rPr>
      </w:pPr>
    </w:p>
    <w:p w14:paraId="43967909" w14:textId="214733A9"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Any gains and losses that arise on the derecognition of an asset are credited or debited to the Financing and Investment Income and Expenditure line in the </w:t>
      </w:r>
      <w:r w:rsidR="007E4DB2" w:rsidRPr="00507C12">
        <w:rPr>
          <w:rFonts w:ascii="Arial" w:eastAsia="Times New Roman" w:hAnsi="Arial" w:cs="Arial"/>
          <w:szCs w:val="20"/>
          <w:lang w:eastAsia="en-GB"/>
        </w:rPr>
        <w:t>Comprehensive Income and Expenditure Statement</w:t>
      </w:r>
      <w:r w:rsidRPr="00507C12">
        <w:rPr>
          <w:rFonts w:ascii="Arial" w:eastAsia="Times New Roman" w:hAnsi="Arial" w:cs="Arial"/>
          <w:szCs w:val="20"/>
          <w:lang w:eastAsia="en-GB"/>
        </w:rPr>
        <w:t>.</w:t>
      </w:r>
    </w:p>
    <w:p w14:paraId="7EAE1B38" w14:textId="77777777" w:rsidR="0061572D" w:rsidRPr="00507C12" w:rsidRDefault="0061572D" w:rsidP="0061572D">
      <w:pPr>
        <w:spacing w:after="0"/>
        <w:rPr>
          <w:rFonts w:ascii="Arial" w:eastAsia="Times New Roman" w:hAnsi="Arial" w:cs="Arial"/>
          <w:szCs w:val="20"/>
          <w:lang w:eastAsia="en-GB"/>
        </w:rPr>
      </w:pPr>
    </w:p>
    <w:p w14:paraId="78572216"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b/>
          <w:bCs/>
          <w:szCs w:val="20"/>
          <w:lang w:eastAsia="en-GB"/>
        </w:rPr>
        <w:t xml:space="preserve">Expected Credit Loss Model </w:t>
      </w:r>
    </w:p>
    <w:p w14:paraId="41C391D0" w14:textId="59B61193"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w:t>
      </w:r>
      <w:r w:rsidR="00882CF1">
        <w:rPr>
          <w:rFonts w:ascii="Arial" w:eastAsia="Times New Roman" w:hAnsi="Arial" w:cs="Arial"/>
          <w:szCs w:val="20"/>
          <w:lang w:eastAsia="en-GB"/>
        </w:rPr>
        <w:t>council</w:t>
      </w:r>
      <w:r w:rsidRPr="00507C12">
        <w:rPr>
          <w:rFonts w:ascii="Arial" w:eastAsia="Times New Roman" w:hAnsi="Arial" w:cs="Arial"/>
          <w:szCs w:val="20"/>
          <w:lang w:eastAsia="en-GB"/>
        </w:rPr>
        <w:t xml:space="preserve"> recognises expected credit losses on all of its financial assets held at amortised cost</w:t>
      </w:r>
      <w:r w:rsidR="007E4DB2">
        <w:rPr>
          <w:rFonts w:ascii="Arial" w:eastAsia="Times New Roman" w:hAnsi="Arial" w:cs="Arial"/>
          <w:szCs w:val="20"/>
          <w:lang w:eastAsia="en-GB"/>
        </w:rPr>
        <w:t xml:space="preserve">, </w:t>
      </w:r>
      <w:r w:rsidRPr="00507C12">
        <w:rPr>
          <w:rFonts w:ascii="Arial" w:eastAsia="Times New Roman" w:hAnsi="Arial" w:cs="Arial"/>
          <w:szCs w:val="20"/>
          <w:lang w:eastAsia="en-GB"/>
        </w:rPr>
        <w:t xml:space="preserve">either on a 12-month or lifetime basis. The expected credit loss model also applies to lease receivables and contract assets. Only lifetime losses are recognised for trade receivables (debtors) held by the </w:t>
      </w:r>
      <w:r w:rsidR="00882CF1">
        <w:rPr>
          <w:rFonts w:ascii="Arial" w:eastAsia="Times New Roman" w:hAnsi="Arial" w:cs="Arial"/>
          <w:szCs w:val="20"/>
          <w:lang w:eastAsia="en-GB"/>
        </w:rPr>
        <w:t>council</w:t>
      </w:r>
      <w:r w:rsidRPr="00507C12">
        <w:rPr>
          <w:rFonts w:ascii="Arial" w:eastAsia="Times New Roman" w:hAnsi="Arial" w:cs="Arial"/>
          <w:szCs w:val="20"/>
          <w:lang w:eastAsia="en-GB"/>
        </w:rPr>
        <w:t>.</w:t>
      </w:r>
    </w:p>
    <w:p w14:paraId="06BDC117" w14:textId="77777777" w:rsidR="0061572D" w:rsidRPr="00507C12" w:rsidRDefault="0061572D" w:rsidP="0061572D">
      <w:pPr>
        <w:spacing w:after="0"/>
        <w:rPr>
          <w:rFonts w:ascii="Arial" w:eastAsia="Times New Roman" w:hAnsi="Arial" w:cs="Arial"/>
          <w:szCs w:val="20"/>
          <w:lang w:eastAsia="en-GB"/>
        </w:rPr>
      </w:pPr>
    </w:p>
    <w:p w14:paraId="38A551BE"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Impairment losses are calculated to reflect the expectation that the future cash flows might not take place because the borrower could default on their obligations. Credit risk plays a crucial part in assessing losses. Where risk has increased significantly since an instrument was initially recognised, losses are assessed on a lifetime basis. Where risk has not increased significantly or remains low, losses are assessed on the basis of 12-month expected losses. </w:t>
      </w:r>
    </w:p>
    <w:p w14:paraId="393DBD51" w14:textId="77777777" w:rsidR="0061572D" w:rsidRPr="00507C12" w:rsidRDefault="0061572D" w:rsidP="0061572D">
      <w:pPr>
        <w:spacing w:after="0"/>
        <w:rPr>
          <w:rFonts w:ascii="Arial" w:eastAsia="Times New Roman" w:hAnsi="Arial" w:cs="Arial"/>
          <w:szCs w:val="20"/>
          <w:lang w:eastAsia="en-GB"/>
        </w:rPr>
      </w:pPr>
    </w:p>
    <w:p w14:paraId="1094975B"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b/>
          <w:bCs/>
          <w:szCs w:val="20"/>
          <w:lang w:eastAsia="en-GB"/>
        </w:rPr>
        <w:t xml:space="preserve">Financial Assets Measured at Fair Value through Profit or Loss </w:t>
      </w:r>
    </w:p>
    <w:p w14:paraId="2F7F4A1D" w14:textId="28805A25"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Financial assets that are measured at F</w:t>
      </w:r>
      <w:r w:rsidR="007E4DB2">
        <w:rPr>
          <w:rFonts w:ascii="Arial" w:eastAsia="Times New Roman" w:hAnsi="Arial" w:cs="Arial"/>
          <w:szCs w:val="20"/>
          <w:lang w:eastAsia="en-GB"/>
        </w:rPr>
        <w:t xml:space="preserve">air </w:t>
      </w:r>
      <w:r w:rsidRPr="00507C12">
        <w:rPr>
          <w:rFonts w:ascii="Arial" w:eastAsia="Times New Roman" w:hAnsi="Arial" w:cs="Arial"/>
          <w:szCs w:val="20"/>
          <w:lang w:eastAsia="en-GB"/>
        </w:rPr>
        <w:t>V</w:t>
      </w:r>
      <w:r w:rsidR="007E4DB2">
        <w:rPr>
          <w:rFonts w:ascii="Arial" w:eastAsia="Times New Roman" w:hAnsi="Arial" w:cs="Arial"/>
          <w:szCs w:val="20"/>
          <w:lang w:eastAsia="en-GB"/>
        </w:rPr>
        <w:t xml:space="preserve">alue through </w:t>
      </w:r>
      <w:r w:rsidRPr="00507C12">
        <w:rPr>
          <w:rFonts w:ascii="Arial" w:eastAsia="Times New Roman" w:hAnsi="Arial" w:cs="Arial"/>
          <w:szCs w:val="20"/>
          <w:lang w:eastAsia="en-GB"/>
        </w:rPr>
        <w:t>P</w:t>
      </w:r>
      <w:r w:rsidR="007E4DB2">
        <w:rPr>
          <w:rFonts w:ascii="Arial" w:eastAsia="Times New Roman" w:hAnsi="Arial" w:cs="Arial"/>
          <w:szCs w:val="20"/>
          <w:lang w:eastAsia="en-GB"/>
        </w:rPr>
        <w:t xml:space="preserve">rofit or </w:t>
      </w:r>
      <w:r w:rsidRPr="00507C12">
        <w:rPr>
          <w:rFonts w:ascii="Arial" w:eastAsia="Times New Roman" w:hAnsi="Arial" w:cs="Arial"/>
          <w:szCs w:val="20"/>
          <w:lang w:eastAsia="en-GB"/>
        </w:rPr>
        <w:t>L</w:t>
      </w:r>
      <w:r w:rsidR="007E4DB2">
        <w:rPr>
          <w:rFonts w:ascii="Arial" w:eastAsia="Times New Roman" w:hAnsi="Arial" w:cs="Arial"/>
          <w:szCs w:val="20"/>
          <w:lang w:eastAsia="en-GB"/>
        </w:rPr>
        <w:t>oss</w:t>
      </w:r>
      <w:r w:rsidRPr="00507C12">
        <w:rPr>
          <w:rFonts w:ascii="Arial" w:eastAsia="Times New Roman" w:hAnsi="Arial" w:cs="Arial"/>
          <w:szCs w:val="20"/>
          <w:lang w:eastAsia="en-GB"/>
        </w:rPr>
        <w:t xml:space="preserve"> are recognised on the Balance Sheet when the </w:t>
      </w:r>
      <w:r w:rsidR="00882CF1">
        <w:rPr>
          <w:rFonts w:ascii="Arial" w:eastAsia="Times New Roman" w:hAnsi="Arial" w:cs="Arial"/>
          <w:szCs w:val="20"/>
          <w:lang w:eastAsia="en-GB"/>
        </w:rPr>
        <w:t>council</w:t>
      </w:r>
      <w:r w:rsidRPr="00507C12">
        <w:rPr>
          <w:rFonts w:ascii="Arial" w:eastAsia="Times New Roman" w:hAnsi="Arial" w:cs="Arial"/>
          <w:szCs w:val="20"/>
          <w:lang w:eastAsia="en-GB"/>
        </w:rPr>
        <w:t xml:space="preserve"> becomes a party to the contractual provisions of a financial instrument and are initially measured and carried at fair value. Fair value gains and losses are recognised as they arrive in the Surplus or Deficit on the Provision of Services. </w:t>
      </w:r>
    </w:p>
    <w:p w14:paraId="414AFC06" w14:textId="77777777" w:rsidR="0061572D" w:rsidRPr="00507C12" w:rsidRDefault="0061572D" w:rsidP="0061572D">
      <w:pPr>
        <w:spacing w:after="0"/>
        <w:rPr>
          <w:rFonts w:ascii="Arial" w:eastAsia="Times New Roman" w:hAnsi="Arial" w:cs="Arial"/>
          <w:szCs w:val="20"/>
          <w:lang w:eastAsia="en-GB"/>
        </w:rPr>
      </w:pPr>
    </w:p>
    <w:p w14:paraId="74B3429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fair value measurements of the financial assets are based on the following techniques: </w:t>
      </w:r>
    </w:p>
    <w:p w14:paraId="1C0DFDC9" w14:textId="0F0135DF" w:rsidR="0061572D" w:rsidRDefault="0061572D" w:rsidP="0061572D">
      <w:pPr>
        <w:pStyle w:val="ListParagraph"/>
        <w:numPr>
          <w:ilvl w:val="0"/>
          <w:numId w:val="16"/>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instruments with quoted market prices – the market price </w:t>
      </w:r>
    </w:p>
    <w:p w14:paraId="3C7C6C13" w14:textId="77777777" w:rsidR="0094742F" w:rsidRPr="00507C12" w:rsidRDefault="0094742F" w:rsidP="0094742F">
      <w:pPr>
        <w:pStyle w:val="ListParagraph"/>
        <w:spacing w:after="0"/>
        <w:rPr>
          <w:rFonts w:ascii="Arial" w:eastAsia="Times New Roman" w:hAnsi="Arial" w:cs="Arial"/>
          <w:szCs w:val="20"/>
          <w:lang w:eastAsia="en-GB"/>
        </w:rPr>
      </w:pPr>
    </w:p>
    <w:p w14:paraId="5FCDCF93" w14:textId="77777777" w:rsidR="0061572D" w:rsidRPr="00507C12" w:rsidRDefault="0061572D" w:rsidP="0061572D">
      <w:pPr>
        <w:pStyle w:val="ListParagraph"/>
        <w:numPr>
          <w:ilvl w:val="0"/>
          <w:numId w:val="16"/>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other instruments with fixed and determinable payments – discounted cash flow analysis. </w:t>
      </w:r>
    </w:p>
    <w:p w14:paraId="75A12625" w14:textId="77777777" w:rsidR="0061572D" w:rsidRPr="00507C12" w:rsidRDefault="0061572D" w:rsidP="0061572D">
      <w:pPr>
        <w:spacing w:after="0"/>
        <w:rPr>
          <w:rFonts w:ascii="Arial" w:eastAsia="Times New Roman" w:hAnsi="Arial" w:cs="Arial"/>
          <w:szCs w:val="20"/>
          <w:lang w:eastAsia="en-GB"/>
        </w:rPr>
      </w:pPr>
    </w:p>
    <w:p w14:paraId="42416149"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inputs to the measurement techniques are categorised in accordance with the following three levels: </w:t>
      </w:r>
    </w:p>
    <w:p w14:paraId="613E137F" w14:textId="0C4AFA5C" w:rsidR="0061572D" w:rsidRDefault="0061572D" w:rsidP="0061572D">
      <w:pPr>
        <w:pStyle w:val="ListParagraph"/>
        <w:numPr>
          <w:ilvl w:val="0"/>
          <w:numId w:val="17"/>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Level 1 inputs – quoted prices (unadjusted) in active markets for identical assets that the </w:t>
      </w:r>
      <w:r w:rsidR="00882CF1">
        <w:rPr>
          <w:rFonts w:ascii="Arial" w:eastAsia="Times New Roman" w:hAnsi="Arial" w:cs="Arial"/>
          <w:szCs w:val="20"/>
          <w:lang w:eastAsia="en-GB"/>
        </w:rPr>
        <w:t>council</w:t>
      </w:r>
      <w:r w:rsidRPr="00507C12">
        <w:rPr>
          <w:rFonts w:ascii="Arial" w:eastAsia="Times New Roman" w:hAnsi="Arial" w:cs="Arial"/>
          <w:szCs w:val="20"/>
          <w:lang w:eastAsia="en-GB"/>
        </w:rPr>
        <w:t xml:space="preserve"> can access at the measurement date. </w:t>
      </w:r>
    </w:p>
    <w:p w14:paraId="33734CA7" w14:textId="77777777" w:rsidR="0094742F" w:rsidRPr="00507C12" w:rsidRDefault="0094742F" w:rsidP="0094742F">
      <w:pPr>
        <w:pStyle w:val="ListParagraph"/>
        <w:spacing w:after="0"/>
        <w:rPr>
          <w:rFonts w:ascii="Arial" w:eastAsia="Times New Roman" w:hAnsi="Arial" w:cs="Arial"/>
          <w:szCs w:val="20"/>
          <w:lang w:eastAsia="en-GB"/>
        </w:rPr>
      </w:pPr>
    </w:p>
    <w:p w14:paraId="4BF6E4BD" w14:textId="77777777" w:rsidR="0094742F" w:rsidRDefault="0061572D" w:rsidP="0061572D">
      <w:pPr>
        <w:pStyle w:val="ListParagraph"/>
        <w:numPr>
          <w:ilvl w:val="0"/>
          <w:numId w:val="17"/>
        </w:numPr>
        <w:spacing w:after="0"/>
        <w:rPr>
          <w:rFonts w:ascii="Arial" w:eastAsia="Times New Roman" w:hAnsi="Arial" w:cs="Arial"/>
          <w:szCs w:val="20"/>
          <w:lang w:eastAsia="en-GB"/>
        </w:rPr>
      </w:pPr>
      <w:r w:rsidRPr="00507C12">
        <w:rPr>
          <w:rFonts w:ascii="Arial" w:eastAsia="Times New Roman" w:hAnsi="Arial" w:cs="Arial"/>
          <w:szCs w:val="20"/>
          <w:lang w:eastAsia="en-GB"/>
        </w:rPr>
        <w:t>Level 2 inputs – inputs other than quoted prices included within Level 1 that are observable for the asset, either directly or indirectly.</w:t>
      </w:r>
    </w:p>
    <w:p w14:paraId="257ED125" w14:textId="74FAD58C" w:rsidR="0061572D" w:rsidRPr="0094742F" w:rsidRDefault="0061572D" w:rsidP="0094742F">
      <w:pPr>
        <w:spacing w:after="0"/>
        <w:rPr>
          <w:rFonts w:ascii="Arial" w:eastAsia="Times New Roman" w:hAnsi="Arial" w:cs="Arial"/>
          <w:szCs w:val="20"/>
          <w:lang w:eastAsia="en-GB"/>
        </w:rPr>
      </w:pPr>
      <w:r w:rsidRPr="0094742F">
        <w:rPr>
          <w:rFonts w:ascii="Arial" w:eastAsia="Times New Roman" w:hAnsi="Arial" w:cs="Arial"/>
          <w:szCs w:val="20"/>
          <w:lang w:eastAsia="en-GB"/>
        </w:rPr>
        <w:t xml:space="preserve"> </w:t>
      </w:r>
    </w:p>
    <w:p w14:paraId="0D2A4266" w14:textId="77777777" w:rsidR="0061572D" w:rsidRPr="00507C12" w:rsidRDefault="0061572D" w:rsidP="0061572D">
      <w:pPr>
        <w:pStyle w:val="ListParagraph"/>
        <w:numPr>
          <w:ilvl w:val="0"/>
          <w:numId w:val="17"/>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Level 3 inputs – unobservable inputs for the asset. </w:t>
      </w:r>
    </w:p>
    <w:p w14:paraId="2942013F" w14:textId="77777777" w:rsidR="0061572D" w:rsidRPr="00507C12" w:rsidRDefault="0061572D" w:rsidP="0061572D">
      <w:pPr>
        <w:spacing w:after="0"/>
        <w:rPr>
          <w:rFonts w:ascii="Arial" w:eastAsia="Times New Roman" w:hAnsi="Arial" w:cs="Arial"/>
          <w:szCs w:val="20"/>
          <w:lang w:eastAsia="en-GB"/>
        </w:rPr>
      </w:pPr>
    </w:p>
    <w:p w14:paraId="64369E95" w14:textId="77777777" w:rsidR="0061572D" w:rsidRDefault="0061572D" w:rsidP="0061572D">
      <w:pPr>
        <w:spacing w:after="0"/>
        <w:rPr>
          <w:rFonts w:ascii="Arial" w:eastAsia="Times New Roman" w:hAnsi="Arial" w:cs="Arial"/>
          <w:szCs w:val="20"/>
          <w:lang w:eastAsia="en-GB"/>
        </w:rPr>
      </w:pPr>
    </w:p>
    <w:p w14:paraId="1E6EAC06"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Any gains and losses that arise on the derecognition of the asset are credited or debited to the Financing and Investment Income and Expenditure line in the Comprehensive Income and Expenditure Statement.</w:t>
      </w:r>
    </w:p>
    <w:p w14:paraId="16CA1941" w14:textId="77777777" w:rsidR="0061572D" w:rsidRPr="00507C12" w:rsidRDefault="0061572D" w:rsidP="0061572D">
      <w:pPr>
        <w:spacing w:after="0"/>
        <w:rPr>
          <w:rFonts w:ascii="Arial" w:eastAsia="Times New Roman" w:hAnsi="Arial" w:cs="Arial"/>
          <w:szCs w:val="20"/>
          <w:lang w:eastAsia="en-GB"/>
        </w:rPr>
      </w:pPr>
    </w:p>
    <w:p w14:paraId="6237997E"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Government Grants and Contributions</w:t>
      </w:r>
    </w:p>
    <w:p w14:paraId="0A087089" w14:textId="77777777" w:rsidR="0061572D" w:rsidRPr="00507C12" w:rsidRDefault="0061572D" w:rsidP="0061572D">
      <w:pPr>
        <w:spacing w:after="0"/>
        <w:outlineLvl w:val="0"/>
        <w:rPr>
          <w:rFonts w:ascii="Arial" w:eastAsia="Times New Roman" w:hAnsi="Arial" w:cs="Arial"/>
          <w:b/>
          <w:szCs w:val="20"/>
          <w:lang w:eastAsia="en-GB"/>
        </w:rPr>
      </w:pPr>
    </w:p>
    <w:p w14:paraId="00D1F19E" w14:textId="77777777" w:rsidR="0061572D" w:rsidRPr="00507C12" w:rsidRDefault="0061572D" w:rsidP="0061572D">
      <w:p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Whether paid on account, by instalments or in arrears, government grants and third party contributions and donations are recognised as due to the Council when there is reasonable assurance that:</w:t>
      </w:r>
    </w:p>
    <w:p w14:paraId="112EF692" w14:textId="55DF4595" w:rsidR="0061572D" w:rsidRDefault="0061572D" w:rsidP="0061572D">
      <w:pPr>
        <w:pStyle w:val="ListParagraph"/>
        <w:numPr>
          <w:ilvl w:val="0"/>
          <w:numId w:val="18"/>
        </w:num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the Council will comply with the conditions attached to the payments, and</w:t>
      </w:r>
    </w:p>
    <w:p w14:paraId="717D4A5B" w14:textId="77777777" w:rsidR="0094742F" w:rsidRPr="00507C12" w:rsidRDefault="0094742F" w:rsidP="0094742F">
      <w:pPr>
        <w:pStyle w:val="ListParagraph"/>
        <w:spacing w:after="0"/>
        <w:outlineLvl w:val="0"/>
        <w:rPr>
          <w:rFonts w:ascii="Arial" w:eastAsia="Times New Roman" w:hAnsi="Arial" w:cs="Arial"/>
          <w:szCs w:val="20"/>
          <w:lang w:eastAsia="en-GB"/>
        </w:rPr>
      </w:pPr>
    </w:p>
    <w:p w14:paraId="51B5ED0C" w14:textId="77777777" w:rsidR="0061572D" w:rsidRPr="00507C12" w:rsidRDefault="0061572D" w:rsidP="0061572D">
      <w:pPr>
        <w:pStyle w:val="ListParagraph"/>
        <w:numPr>
          <w:ilvl w:val="0"/>
          <w:numId w:val="18"/>
        </w:num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the grant or contributions will be received</w:t>
      </w:r>
    </w:p>
    <w:p w14:paraId="4B53B891" w14:textId="77777777" w:rsidR="0061572D" w:rsidRPr="00507C12" w:rsidRDefault="0061572D" w:rsidP="0061572D">
      <w:pPr>
        <w:spacing w:after="0"/>
        <w:outlineLvl w:val="0"/>
        <w:rPr>
          <w:rFonts w:ascii="Arial" w:eastAsia="Times New Roman" w:hAnsi="Arial" w:cs="Arial"/>
          <w:szCs w:val="20"/>
          <w:lang w:eastAsia="en-GB"/>
        </w:rPr>
      </w:pPr>
    </w:p>
    <w:p w14:paraId="65DC74AE" w14:textId="77777777" w:rsidR="0061572D" w:rsidRPr="00507C12" w:rsidRDefault="0061572D" w:rsidP="0061572D">
      <w:p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Amounts recognised as due to the Council are not credited to the Comprehensive Income and Expenditure Statement until conditions attached to the grant or contributions have been satisfied.  Conditions are stipulations that specify that the future economic benefits or service potential embodied in the asset in the form of the grant or contribution are required to be consumed by the recipient as specified, or future economic benefits or service potential must be returned to the giver.</w:t>
      </w:r>
    </w:p>
    <w:p w14:paraId="55752787" w14:textId="77777777" w:rsidR="0061572D" w:rsidRPr="00507C12" w:rsidRDefault="0061572D" w:rsidP="0061572D">
      <w:pPr>
        <w:spacing w:after="0"/>
        <w:outlineLvl w:val="0"/>
        <w:rPr>
          <w:rFonts w:ascii="Arial" w:eastAsia="Times New Roman" w:hAnsi="Arial" w:cs="Arial"/>
          <w:szCs w:val="20"/>
          <w:lang w:eastAsia="en-GB"/>
        </w:rPr>
      </w:pPr>
    </w:p>
    <w:p w14:paraId="0A7A4A9A" w14:textId="77777777" w:rsidR="0061572D" w:rsidRPr="00507C12" w:rsidRDefault="0061572D" w:rsidP="0061572D">
      <w:p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Monies advanced as grants and contributions for which conditions have not been satisfied are carried in the Balance Sheet as creditors.  When the conditions are satisfied, the grant or contributions is credited to the relevant service line (attributable revenue grants and contributions) or Taxation and Non-specific Grant Income (non-ring fenced revenue grants and all capital grants) in the Comprehensive Income and Expenditure Statement.</w:t>
      </w:r>
    </w:p>
    <w:p w14:paraId="108CA048" w14:textId="77777777" w:rsidR="0061572D" w:rsidRPr="00507C12" w:rsidRDefault="0061572D" w:rsidP="0061572D">
      <w:pPr>
        <w:spacing w:after="0"/>
        <w:outlineLvl w:val="0"/>
        <w:rPr>
          <w:rFonts w:ascii="Arial" w:eastAsia="Times New Roman" w:hAnsi="Arial" w:cs="Arial"/>
          <w:szCs w:val="20"/>
          <w:lang w:eastAsia="en-GB"/>
        </w:rPr>
      </w:pPr>
    </w:p>
    <w:p w14:paraId="7DEDB5AE" w14:textId="77777777" w:rsidR="0061572D" w:rsidRDefault="0061572D" w:rsidP="0061572D">
      <w:p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Where capital grants are credited to the Comprehensive Income and Expenditure Statement, they are reversed out of the General Fund Balance in the Movement in Reserves Statement.  Where the grant has yet to be used to finance capital expenditure, it is posted to the Capital Grants Unapplied Reserve.  Where it has been applied, it is posted to the Capital Adjustment Account.  Amounts in the Capital Grants Unapplied Reserve are transferred to the Capital Adjustment Account once they have been applied to fund capital expenditure.</w:t>
      </w:r>
    </w:p>
    <w:p w14:paraId="2EEEB20C" w14:textId="77777777" w:rsidR="0061572D" w:rsidRPr="00507C12" w:rsidRDefault="0061572D" w:rsidP="0061572D">
      <w:pPr>
        <w:spacing w:after="0"/>
        <w:outlineLvl w:val="0"/>
        <w:rPr>
          <w:rFonts w:ascii="Arial" w:eastAsia="Times New Roman" w:hAnsi="Arial" w:cs="Arial"/>
          <w:szCs w:val="20"/>
          <w:lang w:eastAsia="en-GB"/>
        </w:rPr>
      </w:pPr>
    </w:p>
    <w:p w14:paraId="163150BA" w14:textId="6DFE69FA" w:rsidR="004F0031" w:rsidRPr="00DE1C11" w:rsidRDefault="004F0031" w:rsidP="00DE1C11">
      <w:pPr>
        <w:pStyle w:val="ListParagraph"/>
        <w:numPr>
          <w:ilvl w:val="0"/>
          <w:numId w:val="5"/>
        </w:numPr>
        <w:spacing w:after="0"/>
        <w:ind w:left="0" w:firstLine="0"/>
        <w:outlineLvl w:val="0"/>
        <w:rPr>
          <w:rFonts w:ascii="Arial" w:eastAsia="Calibri" w:hAnsi="Arial" w:cs="Arial"/>
          <w:b/>
          <w:szCs w:val="20"/>
        </w:rPr>
      </w:pPr>
      <w:r w:rsidRPr="00DE1C11">
        <w:rPr>
          <w:rFonts w:ascii="Arial" w:eastAsia="Calibri" w:hAnsi="Arial" w:cs="Arial"/>
          <w:b/>
          <w:szCs w:val="20"/>
        </w:rPr>
        <w:t xml:space="preserve">Business </w:t>
      </w:r>
      <w:r w:rsidR="00A4050C">
        <w:rPr>
          <w:rFonts w:ascii="Arial" w:eastAsia="Calibri" w:hAnsi="Arial" w:cs="Arial"/>
          <w:b/>
          <w:szCs w:val="20"/>
        </w:rPr>
        <w:t>I</w:t>
      </w:r>
      <w:r w:rsidRPr="00DE1C11">
        <w:rPr>
          <w:rFonts w:ascii="Arial" w:eastAsia="Calibri" w:hAnsi="Arial" w:cs="Arial"/>
          <w:b/>
          <w:szCs w:val="20"/>
        </w:rPr>
        <w:t xml:space="preserve">mprovement </w:t>
      </w:r>
      <w:r w:rsidR="00A4050C">
        <w:rPr>
          <w:rFonts w:ascii="Arial" w:eastAsia="Calibri" w:hAnsi="Arial" w:cs="Arial"/>
          <w:b/>
          <w:szCs w:val="20"/>
        </w:rPr>
        <w:t>D</w:t>
      </w:r>
      <w:r w:rsidRPr="00DE1C11">
        <w:rPr>
          <w:rFonts w:ascii="Arial" w:eastAsia="Calibri" w:hAnsi="Arial" w:cs="Arial"/>
          <w:b/>
          <w:szCs w:val="20"/>
        </w:rPr>
        <w:t>istricts</w:t>
      </w:r>
      <w:r w:rsidR="00A4050C">
        <w:rPr>
          <w:rFonts w:ascii="Arial" w:eastAsia="Calibri" w:hAnsi="Arial" w:cs="Arial"/>
          <w:b/>
          <w:szCs w:val="20"/>
        </w:rPr>
        <w:t xml:space="preserve"> (BID)</w:t>
      </w:r>
    </w:p>
    <w:p w14:paraId="7CF2A54A" w14:textId="77777777" w:rsidR="004F0031" w:rsidRDefault="004F0031" w:rsidP="00DE1C11">
      <w:pPr>
        <w:autoSpaceDE w:val="0"/>
        <w:autoSpaceDN w:val="0"/>
        <w:adjustRightInd w:val="0"/>
        <w:spacing w:after="0" w:line="240" w:lineRule="auto"/>
        <w:ind w:firstLine="360"/>
        <w:jc w:val="left"/>
        <w:rPr>
          <w:rFonts w:ascii="Arial" w:eastAsia="Times New Roman" w:hAnsi="Arial" w:cs="Arial"/>
          <w:szCs w:val="20"/>
          <w:lang w:eastAsia="en-GB"/>
        </w:rPr>
      </w:pPr>
    </w:p>
    <w:p w14:paraId="03BC1128" w14:textId="18D2D026" w:rsidR="004F0031" w:rsidRPr="00DE1C11" w:rsidRDefault="004F0031" w:rsidP="00DE1C11">
      <w:pPr>
        <w:spacing w:after="0"/>
        <w:outlineLvl w:val="0"/>
        <w:rPr>
          <w:rFonts w:ascii="Arial" w:eastAsia="Times New Roman" w:hAnsi="Arial" w:cs="Arial"/>
          <w:szCs w:val="20"/>
          <w:lang w:eastAsia="en-GB"/>
        </w:rPr>
      </w:pPr>
      <w:r w:rsidRPr="00DE1C11">
        <w:rPr>
          <w:rFonts w:ascii="Arial" w:eastAsia="Times New Roman" w:hAnsi="Arial" w:cs="Arial"/>
          <w:szCs w:val="20"/>
          <w:lang w:eastAsia="en-GB"/>
        </w:rPr>
        <w:t xml:space="preserve">A business improvement district (BID) scheme applies across the whole of the </w:t>
      </w:r>
      <w:r w:rsidR="00882CF1">
        <w:rPr>
          <w:rFonts w:ascii="Arial" w:eastAsia="Times New Roman" w:hAnsi="Arial" w:cs="Arial"/>
          <w:szCs w:val="20"/>
          <w:lang w:eastAsia="en-GB"/>
        </w:rPr>
        <w:t>council</w:t>
      </w:r>
      <w:r w:rsidRPr="00DE1C11">
        <w:rPr>
          <w:rFonts w:ascii="Arial" w:eastAsia="Times New Roman" w:hAnsi="Arial" w:cs="Arial"/>
          <w:szCs w:val="20"/>
          <w:lang w:eastAsia="en-GB"/>
        </w:rPr>
        <w:t>.</w:t>
      </w:r>
    </w:p>
    <w:p w14:paraId="60EAD604" w14:textId="1ACAF5C8" w:rsidR="004F0031" w:rsidRPr="004F0031" w:rsidRDefault="004F0031" w:rsidP="00DE1C11">
      <w:pPr>
        <w:spacing w:after="0"/>
        <w:outlineLvl w:val="0"/>
        <w:rPr>
          <w:rFonts w:ascii="Arial" w:eastAsia="Times New Roman" w:hAnsi="Arial" w:cs="Arial"/>
          <w:szCs w:val="20"/>
          <w:lang w:eastAsia="en-GB"/>
        </w:rPr>
      </w:pPr>
      <w:r w:rsidRPr="004F0031">
        <w:rPr>
          <w:rFonts w:ascii="Arial" w:eastAsia="Times New Roman" w:hAnsi="Arial" w:cs="Arial"/>
          <w:szCs w:val="20"/>
          <w:lang w:eastAsia="en-GB"/>
        </w:rPr>
        <w:t xml:space="preserve">The scheme is funded by a BID levy paid by non-domestic ratepayers. The </w:t>
      </w:r>
      <w:r w:rsidR="00882CF1">
        <w:rPr>
          <w:rFonts w:ascii="Arial" w:eastAsia="Times New Roman" w:hAnsi="Arial" w:cs="Arial"/>
          <w:szCs w:val="20"/>
          <w:lang w:eastAsia="en-GB"/>
        </w:rPr>
        <w:t>council</w:t>
      </w:r>
      <w:r w:rsidRPr="004F0031">
        <w:rPr>
          <w:rFonts w:ascii="Arial" w:eastAsia="Times New Roman" w:hAnsi="Arial" w:cs="Arial"/>
          <w:szCs w:val="20"/>
          <w:lang w:eastAsia="en-GB"/>
        </w:rPr>
        <w:t xml:space="preserve"> acts as principal under the scheme, and accounts for income received and expenditure incurred (including contributions to the BID project) within the relevant services within the comprehensive income and expenditure statement.</w:t>
      </w:r>
    </w:p>
    <w:p w14:paraId="2C2130EB" w14:textId="77777777" w:rsidR="004F0031" w:rsidRDefault="0061572D" w:rsidP="00DE1C11">
      <w:pPr>
        <w:pStyle w:val="ListParagraph"/>
        <w:spacing w:after="0"/>
        <w:ind w:left="0"/>
        <w:outlineLvl w:val="0"/>
        <w:rPr>
          <w:rFonts w:ascii="Arial" w:eastAsia="Calibri" w:hAnsi="Arial" w:cs="Arial"/>
          <w:b/>
          <w:szCs w:val="20"/>
        </w:rPr>
      </w:pPr>
      <w:r w:rsidRPr="00507C12">
        <w:rPr>
          <w:rFonts w:ascii="Arial" w:eastAsia="Calibri" w:hAnsi="Arial" w:cs="Arial"/>
          <w:b/>
          <w:szCs w:val="20"/>
        </w:rPr>
        <w:t xml:space="preserve">  </w:t>
      </w:r>
    </w:p>
    <w:p w14:paraId="105E7C91" w14:textId="77777777" w:rsidR="0061572D" w:rsidRPr="00507C12" w:rsidRDefault="0061572D" w:rsidP="0061572D">
      <w:pPr>
        <w:pStyle w:val="ListParagraph"/>
        <w:numPr>
          <w:ilvl w:val="0"/>
          <w:numId w:val="5"/>
        </w:numPr>
        <w:spacing w:after="0"/>
        <w:ind w:left="0" w:firstLine="0"/>
        <w:outlineLvl w:val="0"/>
        <w:rPr>
          <w:rFonts w:ascii="Arial" w:eastAsia="Calibri" w:hAnsi="Arial" w:cs="Arial"/>
          <w:b/>
          <w:szCs w:val="20"/>
        </w:rPr>
      </w:pPr>
      <w:r w:rsidRPr="00507C12">
        <w:rPr>
          <w:rFonts w:ascii="Arial" w:eastAsia="Calibri" w:hAnsi="Arial" w:cs="Arial"/>
          <w:b/>
          <w:szCs w:val="20"/>
        </w:rPr>
        <w:t>Heritage Assets</w:t>
      </w:r>
    </w:p>
    <w:p w14:paraId="13DD8E4F" w14:textId="77777777" w:rsidR="0061572D" w:rsidRPr="00507C12" w:rsidRDefault="0061572D" w:rsidP="0061572D">
      <w:pPr>
        <w:spacing w:after="0"/>
        <w:outlineLvl w:val="0"/>
        <w:rPr>
          <w:rFonts w:ascii="Arial" w:eastAsia="Calibri" w:hAnsi="Arial" w:cs="Arial"/>
          <w:b/>
          <w:szCs w:val="20"/>
        </w:rPr>
      </w:pPr>
    </w:p>
    <w:p w14:paraId="35A9390D"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Heritage Assets are those that have historical, artistic, scientific, technological, geophysical or environmental qualities that are held and maintained principally for their contribution towards increasing the knowledge, understanding and appreciation of the Council’s history and local area.  </w:t>
      </w:r>
    </w:p>
    <w:p w14:paraId="37FE8516" w14:textId="77777777" w:rsidR="0061572D" w:rsidRPr="00507C12" w:rsidRDefault="0061572D" w:rsidP="0061572D">
      <w:pPr>
        <w:spacing w:after="0"/>
        <w:rPr>
          <w:rFonts w:ascii="Arial" w:eastAsia="Times New Roman" w:hAnsi="Arial" w:cs="Arial"/>
          <w:szCs w:val="20"/>
          <w:lang w:eastAsia="en-GB"/>
        </w:rPr>
      </w:pPr>
    </w:p>
    <w:p w14:paraId="3A445CE8"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assets are recognised at cost where valuations are readily available. In a number of instances the Council does not consider that reliable cost or valuation information can be obtained due to a lack of comparable market values or that valuations would involve a disproportionate cost in comparison to the benefits to users of the financial statements. In these instances the Council does not recognise these assets on the balance sheet.</w:t>
      </w:r>
    </w:p>
    <w:p w14:paraId="6BAD07CC" w14:textId="77777777" w:rsidR="0061572D" w:rsidRPr="00507C12" w:rsidRDefault="0061572D" w:rsidP="0061572D">
      <w:pPr>
        <w:spacing w:after="0"/>
        <w:rPr>
          <w:rFonts w:ascii="Arial" w:eastAsia="Times New Roman" w:hAnsi="Arial" w:cs="Arial"/>
          <w:szCs w:val="20"/>
          <w:lang w:eastAsia="en-GB"/>
        </w:rPr>
      </w:pPr>
    </w:p>
    <w:p w14:paraId="6810FCF1"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Future acquisitions will be recognised at cost or if bequeathed or donated will not be recognised in the Balance Sheet unless market valuations can be obtained through the sale of similar items at auction.</w:t>
      </w:r>
    </w:p>
    <w:p w14:paraId="6EC48FAD" w14:textId="77777777" w:rsidR="0061572D" w:rsidRPr="00507C12" w:rsidRDefault="0061572D" w:rsidP="0061572D">
      <w:pPr>
        <w:spacing w:after="0"/>
        <w:rPr>
          <w:rFonts w:ascii="Arial" w:eastAsia="Times New Roman" w:hAnsi="Arial" w:cs="Arial"/>
          <w:szCs w:val="20"/>
          <w:lang w:eastAsia="en-GB"/>
        </w:rPr>
      </w:pPr>
    </w:p>
    <w:p w14:paraId="05C8CFCB"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carrying amounts of heritage assets are reviewed where there is evidence of impairment for heritage assets, for example where an item has suffered physical deterioration or breakage or where doubts arise to its authenticity.  Any impairment is recognised and measured in accordance with the Council’s general policies on impairment.  Where heritage assets are disposed of the proceeds are accounted for in accordance with the Council’s general provisions relating to the disposal of property, plant and equipment.</w:t>
      </w:r>
    </w:p>
    <w:p w14:paraId="03D8609D" w14:textId="77777777" w:rsidR="0061572D" w:rsidRPr="00507C12" w:rsidRDefault="0061572D" w:rsidP="0061572D">
      <w:pPr>
        <w:spacing w:after="0"/>
        <w:rPr>
          <w:rFonts w:ascii="Arial" w:eastAsia="Times New Roman" w:hAnsi="Arial" w:cs="Arial"/>
          <w:szCs w:val="20"/>
          <w:lang w:eastAsia="en-GB"/>
        </w:rPr>
      </w:pPr>
    </w:p>
    <w:p w14:paraId="1EFF0D8D"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Disposal proceeds are disclosed separately in the notes to the financial statements and are accounted for in accordance with statutory accounting requirements relating to capital expenditure and capital receipts.</w:t>
      </w:r>
    </w:p>
    <w:p w14:paraId="39B79BA3" w14:textId="77777777" w:rsidR="0061572D" w:rsidRPr="00507C12" w:rsidRDefault="0061572D" w:rsidP="0061572D">
      <w:pPr>
        <w:spacing w:after="0"/>
        <w:rPr>
          <w:rFonts w:ascii="Arial" w:eastAsia="Times New Roman" w:hAnsi="Arial" w:cs="Arial"/>
          <w:szCs w:val="20"/>
          <w:lang w:eastAsia="en-GB"/>
        </w:rPr>
      </w:pPr>
    </w:p>
    <w:p w14:paraId="53DA85A5" w14:textId="77777777" w:rsidR="0061572D" w:rsidRPr="00507C12" w:rsidRDefault="0061572D" w:rsidP="0061572D">
      <w:pPr>
        <w:pStyle w:val="ListParagraph"/>
        <w:numPr>
          <w:ilvl w:val="0"/>
          <w:numId w:val="5"/>
        </w:numPr>
        <w:spacing w:after="0"/>
        <w:ind w:left="0" w:firstLine="0"/>
        <w:outlineLvl w:val="0"/>
        <w:rPr>
          <w:rFonts w:ascii="Arial" w:eastAsia="Calibri" w:hAnsi="Arial" w:cs="Arial"/>
          <w:b/>
          <w:szCs w:val="20"/>
        </w:rPr>
      </w:pPr>
      <w:r w:rsidRPr="00507C12">
        <w:rPr>
          <w:rFonts w:ascii="Arial" w:eastAsia="Calibri" w:hAnsi="Arial" w:cs="Arial"/>
          <w:b/>
          <w:szCs w:val="20"/>
        </w:rPr>
        <w:t xml:space="preserve">  Intangible Assets</w:t>
      </w:r>
    </w:p>
    <w:p w14:paraId="0145E516" w14:textId="77777777" w:rsidR="0061572D" w:rsidRPr="00507C12" w:rsidRDefault="0061572D" w:rsidP="0061572D">
      <w:pPr>
        <w:spacing w:after="0"/>
        <w:outlineLvl w:val="0"/>
        <w:rPr>
          <w:rFonts w:ascii="Arial" w:eastAsia="Calibri" w:hAnsi="Arial" w:cs="Arial"/>
          <w:b/>
          <w:szCs w:val="20"/>
        </w:rPr>
      </w:pPr>
    </w:p>
    <w:p w14:paraId="71721DC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Expenditure on non-monetary assets that do not have physical substance but are controlled by the Council as a result of past events (for example, software licences and patents) is capitalised when it is expected that future economic benefits or service potential will flow from the intangible asset to the Council.  </w:t>
      </w:r>
    </w:p>
    <w:p w14:paraId="41EE7D78" w14:textId="77777777" w:rsidR="0061572D" w:rsidRPr="00507C12" w:rsidRDefault="0061572D" w:rsidP="0061572D">
      <w:pPr>
        <w:spacing w:after="0"/>
        <w:rPr>
          <w:rFonts w:ascii="Arial" w:eastAsia="Times New Roman" w:hAnsi="Arial" w:cs="Arial"/>
          <w:szCs w:val="20"/>
          <w:lang w:eastAsia="en-GB"/>
        </w:rPr>
      </w:pPr>
    </w:p>
    <w:p w14:paraId="75503FEE"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Expenditure on the development of websites is not capitalised if the website is solely or primarily intended to promote or advertise the Council’s goods or services.</w:t>
      </w:r>
    </w:p>
    <w:p w14:paraId="22B17769" w14:textId="77777777" w:rsidR="0061572D" w:rsidRPr="00507C12" w:rsidRDefault="0061572D" w:rsidP="0061572D">
      <w:pPr>
        <w:spacing w:after="0"/>
        <w:rPr>
          <w:rFonts w:ascii="Arial" w:eastAsia="Times New Roman" w:hAnsi="Arial" w:cs="Arial"/>
          <w:szCs w:val="20"/>
          <w:lang w:eastAsia="en-GB"/>
        </w:rPr>
      </w:pPr>
    </w:p>
    <w:p w14:paraId="0D3ECAFE" w14:textId="497AFF32" w:rsidR="0061572D" w:rsidRPr="00507C12" w:rsidRDefault="0061572D" w:rsidP="0061572D">
      <w:pPr>
        <w:spacing w:after="0"/>
        <w:rPr>
          <w:rFonts w:ascii="Arial" w:eastAsia="Times New Roman" w:hAnsi="Arial" w:cs="Arial"/>
          <w:szCs w:val="20"/>
          <w:lang w:eastAsia="en-GB"/>
        </w:rPr>
      </w:pPr>
      <w:r w:rsidRPr="00C17C6D">
        <w:rPr>
          <w:rFonts w:ascii="Arial" w:eastAsia="Times New Roman" w:hAnsi="Arial" w:cs="Arial"/>
          <w:szCs w:val="20"/>
          <w:lang w:eastAsia="en-GB"/>
        </w:rPr>
        <w:t xml:space="preserve">Intangible assets are measured initially at cost. Amounts are only revalued where the fair value of the assets held by the Council can be determined by reference to an active market. In practice, no intangible asset held by the </w:t>
      </w:r>
      <w:r w:rsidR="00882CF1">
        <w:rPr>
          <w:rFonts w:ascii="Arial" w:eastAsia="Times New Roman" w:hAnsi="Arial" w:cs="Arial"/>
          <w:szCs w:val="20"/>
          <w:lang w:eastAsia="en-GB"/>
        </w:rPr>
        <w:t>council</w:t>
      </w:r>
      <w:r w:rsidRPr="00C17C6D">
        <w:rPr>
          <w:rFonts w:ascii="Arial" w:eastAsia="Times New Roman" w:hAnsi="Arial" w:cs="Arial"/>
          <w:szCs w:val="20"/>
          <w:lang w:eastAsia="en-GB"/>
        </w:rPr>
        <w:t xml:space="preserve"> meets this criterion, and they are therefore carried at amortised cost. The depreciable amount of an intangible asset is amortised over its useful life to the relevant service line(s) in the Comprehensive Income and Expenditure Statement. An asset is tested for impairment whenever there is an indication that the asset might be impaired – any losses recognised are posted to the relevant service line(s) in</w:t>
      </w:r>
      <w:r w:rsidRPr="004D1200">
        <w:rPr>
          <w:rFonts w:ascii="Arial" w:eastAsia="Times New Roman" w:hAnsi="Arial" w:cs="Arial"/>
          <w:szCs w:val="20"/>
          <w:lang w:eastAsia="en-GB"/>
        </w:rPr>
        <w:t xml:space="preserve"> the Comprehensive Income and Expenditure Statement. Any gain or loss arising on the disposal or abandonment of an intangible asset is posted to the Other Operating Expenditure line in the Comprehensive Income and Expenditure Statement.</w:t>
      </w:r>
    </w:p>
    <w:p w14:paraId="3CFE2F91" w14:textId="77777777" w:rsidR="0061572D" w:rsidRPr="00507C12" w:rsidRDefault="0061572D" w:rsidP="0061572D">
      <w:pPr>
        <w:spacing w:after="0"/>
        <w:rPr>
          <w:rFonts w:ascii="Arial" w:eastAsia="Times New Roman" w:hAnsi="Arial" w:cs="Arial"/>
          <w:szCs w:val="20"/>
          <w:lang w:eastAsia="en-GB"/>
        </w:rPr>
      </w:pPr>
    </w:p>
    <w:p w14:paraId="7E73977A"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expenditure on intangible assets qualifies as capital expenditure for statutory purposes, amortisation, impairment losses and disposal gains and losses are not permitted to have an impact on the General Fund Balance.  The gains and losses are therefore reversed out of the General Fund Balance in the Movement in Reserves Statement and posted to the Capital Adjustment Account and the Capital Receipts Reserve.</w:t>
      </w:r>
    </w:p>
    <w:p w14:paraId="3387204D" w14:textId="77777777" w:rsidR="0061572D" w:rsidRPr="00507C12" w:rsidRDefault="0061572D" w:rsidP="0061572D">
      <w:pPr>
        <w:spacing w:after="0"/>
        <w:rPr>
          <w:rFonts w:ascii="Arial" w:eastAsia="Times New Roman" w:hAnsi="Arial" w:cs="Arial"/>
          <w:szCs w:val="20"/>
          <w:lang w:eastAsia="en-GB"/>
        </w:rPr>
      </w:pPr>
    </w:p>
    <w:p w14:paraId="61EF02E9" w14:textId="77777777" w:rsidR="0061572D" w:rsidRPr="00507C12" w:rsidRDefault="0061572D" w:rsidP="0061572D">
      <w:pPr>
        <w:pStyle w:val="ListParagraph"/>
        <w:numPr>
          <w:ilvl w:val="0"/>
          <w:numId w:val="5"/>
        </w:numPr>
        <w:spacing w:after="0"/>
        <w:ind w:left="0" w:firstLine="0"/>
        <w:rPr>
          <w:rFonts w:ascii="Arial" w:eastAsia="Times New Roman" w:hAnsi="Arial" w:cs="Arial"/>
          <w:szCs w:val="20"/>
          <w:lang w:eastAsia="en-GB"/>
        </w:rPr>
      </w:pPr>
      <w:r w:rsidRPr="00507C12">
        <w:rPr>
          <w:rFonts w:ascii="Arial" w:eastAsia="Times New Roman" w:hAnsi="Arial" w:cs="Arial"/>
          <w:b/>
          <w:szCs w:val="20"/>
          <w:lang w:eastAsia="en-GB"/>
        </w:rPr>
        <w:t>Interests in companies and Other Entities</w:t>
      </w:r>
    </w:p>
    <w:p w14:paraId="294F95CA" w14:textId="77777777" w:rsidR="0061572D" w:rsidRPr="00507C12" w:rsidRDefault="0061572D" w:rsidP="0061572D">
      <w:pPr>
        <w:spacing w:after="0"/>
        <w:rPr>
          <w:rFonts w:ascii="Arial" w:eastAsia="Times New Roman" w:hAnsi="Arial" w:cs="Arial"/>
          <w:szCs w:val="20"/>
          <w:lang w:eastAsia="en-GB"/>
        </w:rPr>
      </w:pPr>
    </w:p>
    <w:p w14:paraId="6D32247F" w14:textId="0AAEA7F1" w:rsidR="0061572D"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w:t>
      </w:r>
      <w:r w:rsidR="00882CF1">
        <w:rPr>
          <w:rFonts w:ascii="Arial" w:eastAsia="Times New Roman" w:hAnsi="Arial" w:cs="Arial"/>
          <w:szCs w:val="20"/>
          <w:lang w:eastAsia="en-GB"/>
        </w:rPr>
        <w:t>council</w:t>
      </w:r>
      <w:r w:rsidRPr="00507C12">
        <w:rPr>
          <w:rFonts w:ascii="Arial" w:eastAsia="Times New Roman" w:hAnsi="Arial" w:cs="Arial"/>
          <w:szCs w:val="20"/>
          <w:lang w:eastAsia="en-GB"/>
        </w:rPr>
        <w:t xml:space="preserve"> has material interests in companies and other entities that have the nature of subsidiaries, associates and joint ventures and require it to prepare </w:t>
      </w:r>
      <w:r w:rsidR="00882CF1">
        <w:rPr>
          <w:rFonts w:ascii="Arial" w:eastAsia="Times New Roman" w:hAnsi="Arial" w:cs="Arial"/>
          <w:szCs w:val="20"/>
          <w:lang w:eastAsia="en-GB"/>
        </w:rPr>
        <w:t>group accounts. In the council</w:t>
      </w:r>
      <w:r w:rsidRPr="00507C12">
        <w:rPr>
          <w:rFonts w:ascii="Arial" w:eastAsia="Times New Roman" w:hAnsi="Arial" w:cs="Arial"/>
          <w:szCs w:val="20"/>
          <w:lang w:eastAsia="en-GB"/>
        </w:rPr>
        <w:t>’s own single-entity accounts, the interests in companies and other entities are recorded as financial assets at cost, less any provision for losses.</w:t>
      </w:r>
    </w:p>
    <w:p w14:paraId="1CAD846C" w14:textId="47BDD3B6" w:rsidR="00DA5F54" w:rsidRDefault="00DA5F54" w:rsidP="0061572D">
      <w:pPr>
        <w:spacing w:after="0"/>
        <w:rPr>
          <w:rFonts w:ascii="Arial" w:eastAsia="Times New Roman" w:hAnsi="Arial" w:cs="Arial"/>
          <w:szCs w:val="20"/>
          <w:lang w:eastAsia="en-GB"/>
        </w:rPr>
      </w:pPr>
    </w:p>
    <w:p w14:paraId="586FDAF6" w14:textId="24026FA8" w:rsidR="00DA5F54" w:rsidRPr="00507C12" w:rsidRDefault="00DA5F54" w:rsidP="0061572D">
      <w:pPr>
        <w:spacing w:after="0"/>
        <w:rPr>
          <w:rFonts w:ascii="Arial" w:eastAsia="Times New Roman" w:hAnsi="Arial" w:cs="Arial"/>
          <w:szCs w:val="20"/>
          <w:lang w:eastAsia="en-GB"/>
        </w:rPr>
      </w:pPr>
      <w:r>
        <w:rPr>
          <w:rFonts w:ascii="Arial" w:eastAsia="Times New Roman" w:hAnsi="Arial" w:cs="Arial"/>
          <w:szCs w:val="20"/>
          <w:lang w:eastAsia="en-GB"/>
        </w:rPr>
        <w:t>Where interested in companies and other entities</w:t>
      </w:r>
      <w:r w:rsidR="009B7B60">
        <w:rPr>
          <w:rFonts w:ascii="Arial" w:eastAsia="Times New Roman" w:hAnsi="Arial" w:cs="Arial"/>
          <w:szCs w:val="20"/>
          <w:lang w:eastAsia="en-GB"/>
        </w:rPr>
        <w:t xml:space="preserve"> are not material, these are not consolidated into the Council’s group accounts.</w:t>
      </w:r>
    </w:p>
    <w:p w14:paraId="37AF0C3B" w14:textId="77777777" w:rsidR="0061572D" w:rsidRPr="00507C12" w:rsidRDefault="0061572D" w:rsidP="0061572D">
      <w:pPr>
        <w:spacing w:after="0"/>
        <w:rPr>
          <w:rFonts w:ascii="Arial" w:eastAsia="Times New Roman" w:hAnsi="Arial" w:cs="Arial"/>
          <w:szCs w:val="20"/>
          <w:lang w:eastAsia="en-GB"/>
        </w:rPr>
      </w:pPr>
    </w:p>
    <w:p w14:paraId="51750315" w14:textId="77777777" w:rsidR="0061572D" w:rsidRPr="00507C12" w:rsidRDefault="0061572D" w:rsidP="0061572D">
      <w:pPr>
        <w:pStyle w:val="ListParagraph"/>
        <w:numPr>
          <w:ilvl w:val="0"/>
          <w:numId w:val="5"/>
        </w:numPr>
        <w:spacing w:after="0"/>
        <w:ind w:left="0" w:firstLine="0"/>
        <w:rPr>
          <w:rFonts w:ascii="Arial" w:eastAsia="Times New Roman" w:hAnsi="Arial" w:cs="Arial"/>
          <w:b/>
          <w:szCs w:val="20"/>
          <w:lang w:eastAsia="en-GB"/>
        </w:rPr>
      </w:pPr>
      <w:r w:rsidRPr="00507C12">
        <w:rPr>
          <w:rFonts w:ascii="Arial" w:eastAsia="Times New Roman" w:hAnsi="Arial" w:cs="Arial"/>
          <w:b/>
          <w:szCs w:val="20"/>
          <w:lang w:eastAsia="en-GB"/>
        </w:rPr>
        <w:t>Inventories and Long-term Contracts</w:t>
      </w:r>
    </w:p>
    <w:p w14:paraId="110419B1" w14:textId="77777777" w:rsidR="0061572D" w:rsidRPr="00507C12" w:rsidRDefault="0061572D" w:rsidP="0061572D">
      <w:pPr>
        <w:spacing w:after="0"/>
        <w:outlineLvl w:val="0"/>
        <w:rPr>
          <w:rFonts w:ascii="Arial" w:eastAsia="Calibri" w:hAnsi="Arial" w:cs="Arial"/>
          <w:b/>
          <w:szCs w:val="20"/>
        </w:rPr>
      </w:pPr>
    </w:p>
    <w:p w14:paraId="655A65B4" w14:textId="77777777" w:rsidR="0061572D" w:rsidRPr="00507C12" w:rsidRDefault="0061572D" w:rsidP="0061572D">
      <w:p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Inventories are included in the Balance Sheet at the lower of cost and net realisable value.  Work in progress is subjected to an interim valuation at the year end and is also recorded in the Balance Sheet at the lower of cost or net realisable value.</w:t>
      </w:r>
    </w:p>
    <w:p w14:paraId="57FC9264" w14:textId="77777777" w:rsidR="0061572D" w:rsidRPr="00507C12" w:rsidRDefault="0061572D" w:rsidP="0061572D">
      <w:pPr>
        <w:spacing w:after="0"/>
        <w:outlineLvl w:val="0"/>
        <w:rPr>
          <w:rFonts w:ascii="Arial" w:eastAsia="Times New Roman" w:hAnsi="Arial" w:cs="Arial"/>
          <w:szCs w:val="20"/>
          <w:lang w:eastAsia="en-GB"/>
        </w:rPr>
      </w:pPr>
    </w:p>
    <w:p w14:paraId="0F88E4AB" w14:textId="77777777" w:rsidR="0061572D" w:rsidRPr="00507C12" w:rsidRDefault="0061572D" w:rsidP="0061572D">
      <w:pPr>
        <w:spacing w:after="0"/>
        <w:outlineLvl w:val="0"/>
        <w:rPr>
          <w:rFonts w:ascii="Arial" w:eastAsia="Times New Roman" w:hAnsi="Arial" w:cs="Arial"/>
          <w:szCs w:val="20"/>
          <w:lang w:eastAsia="en-GB"/>
        </w:rPr>
      </w:pPr>
      <w:r w:rsidRPr="00507C12">
        <w:rPr>
          <w:rFonts w:ascii="Arial" w:eastAsia="Times New Roman" w:hAnsi="Arial" w:cs="Arial"/>
          <w:szCs w:val="20"/>
          <w:lang w:eastAsia="en-GB"/>
        </w:rPr>
        <w:t>Long term contracts are accounted for on the basis of charging the surplus or deficit on the provision of services with the value of work and services received under the contract during the financial year.</w:t>
      </w:r>
    </w:p>
    <w:p w14:paraId="11B91B89" w14:textId="77777777" w:rsidR="0061572D" w:rsidRPr="00507C12" w:rsidRDefault="0061572D" w:rsidP="0061572D">
      <w:pPr>
        <w:spacing w:after="0"/>
        <w:outlineLvl w:val="0"/>
        <w:rPr>
          <w:rFonts w:ascii="Arial" w:eastAsia="Times New Roman" w:hAnsi="Arial" w:cs="Arial"/>
          <w:szCs w:val="20"/>
          <w:lang w:eastAsia="en-GB"/>
        </w:rPr>
      </w:pPr>
    </w:p>
    <w:p w14:paraId="05621F14" w14:textId="15BA4C97" w:rsidR="0061572D" w:rsidRPr="00507C12" w:rsidRDefault="0061572D" w:rsidP="0061572D">
      <w:pPr>
        <w:pStyle w:val="ListParagraph"/>
        <w:numPr>
          <w:ilvl w:val="0"/>
          <w:numId w:val="5"/>
        </w:numPr>
        <w:spacing w:after="0"/>
        <w:ind w:left="0" w:firstLine="0"/>
        <w:rPr>
          <w:rFonts w:ascii="Arial" w:eastAsia="Times New Roman" w:hAnsi="Arial" w:cs="Arial"/>
          <w:b/>
          <w:szCs w:val="20"/>
          <w:lang w:eastAsia="en-GB"/>
        </w:rPr>
      </w:pPr>
      <w:r w:rsidRPr="00507C12">
        <w:rPr>
          <w:rFonts w:ascii="Arial" w:eastAsia="Times New Roman" w:hAnsi="Arial" w:cs="Arial"/>
          <w:b/>
          <w:szCs w:val="20"/>
          <w:lang w:eastAsia="en-GB"/>
        </w:rPr>
        <w:t xml:space="preserve">  In</w:t>
      </w:r>
      <w:r w:rsidR="004D1200">
        <w:rPr>
          <w:rFonts w:ascii="Arial" w:eastAsia="Times New Roman" w:hAnsi="Arial" w:cs="Arial"/>
          <w:b/>
          <w:szCs w:val="20"/>
          <w:lang w:eastAsia="en-GB"/>
        </w:rPr>
        <w:t>vestment Property</w:t>
      </w:r>
    </w:p>
    <w:p w14:paraId="204F009C" w14:textId="77777777" w:rsidR="0061572D" w:rsidRPr="00507C12" w:rsidRDefault="0061572D" w:rsidP="0061572D">
      <w:pPr>
        <w:spacing w:after="0"/>
        <w:rPr>
          <w:rFonts w:ascii="Arial" w:eastAsia="Times New Roman" w:hAnsi="Arial" w:cs="Arial"/>
          <w:b/>
          <w:szCs w:val="20"/>
          <w:lang w:eastAsia="en-GB"/>
        </w:rPr>
      </w:pPr>
    </w:p>
    <w:p w14:paraId="11D718F2"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Investment properties are those that are used solely to earn rentals and/or capital appreciation.  The definition is not met if the property is used in any way to facilitate the delivery of services or production of goods by the Council or is held for sale.</w:t>
      </w:r>
    </w:p>
    <w:p w14:paraId="03E4BF34" w14:textId="77777777" w:rsidR="0061572D" w:rsidRDefault="0061572D" w:rsidP="0061572D">
      <w:pPr>
        <w:spacing w:after="0"/>
        <w:rPr>
          <w:rFonts w:ascii="Arial" w:eastAsia="Times New Roman" w:hAnsi="Arial" w:cs="Arial"/>
          <w:szCs w:val="20"/>
          <w:lang w:eastAsia="en-GB"/>
        </w:rPr>
      </w:pPr>
    </w:p>
    <w:p w14:paraId="09FCE357" w14:textId="68F66C86"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Investment properties are measured initially at cost and subsequently at fair value, being the price that would be received to sell such an asset in an orderly transaction between market participants at the measurement date.  As a non-financial asset, investment properties are measured at highest and best use.  Properties are not depreciated but are re-valued annually according to market conditions.  Gains and losses on revaluation are posted to the Financing</w:t>
      </w:r>
      <w:r w:rsidR="006C1C5F">
        <w:rPr>
          <w:rFonts w:ascii="Arial" w:eastAsia="Times New Roman" w:hAnsi="Arial" w:cs="Arial"/>
          <w:szCs w:val="20"/>
          <w:lang w:eastAsia="en-GB"/>
        </w:rPr>
        <w:t xml:space="preserve"> </w:t>
      </w:r>
      <w:r w:rsidRPr="00507C12">
        <w:rPr>
          <w:rFonts w:ascii="Arial" w:eastAsia="Times New Roman" w:hAnsi="Arial" w:cs="Arial"/>
          <w:szCs w:val="20"/>
          <w:lang w:eastAsia="en-GB"/>
        </w:rPr>
        <w:t>and Investment Income and Expenditure line in the Comprehensive Income and Expenditure Statement.  The same treatment is applied to gains and losses on disposal.</w:t>
      </w:r>
    </w:p>
    <w:p w14:paraId="45AA3E45" w14:textId="77777777" w:rsidR="0061572D" w:rsidRPr="00507C12" w:rsidRDefault="0061572D" w:rsidP="0061572D">
      <w:pPr>
        <w:spacing w:after="0"/>
        <w:rPr>
          <w:rFonts w:ascii="Arial" w:eastAsia="Times New Roman" w:hAnsi="Arial" w:cs="Arial"/>
          <w:szCs w:val="20"/>
          <w:lang w:eastAsia="en-GB"/>
        </w:rPr>
      </w:pPr>
    </w:p>
    <w:p w14:paraId="2F23C9B7"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Rentals received in relation to investment properties are credited to the Financing and Investment Income line and result in a gain for the General Fund Balance.  However, revaluation and disposal gains and losses are not permitted by statutory arrangements to have an impact on the General Fund Balance.  The gains and losses are therefore reversed out of the General Fund in the Movement in Reserve Statement and posted to the Capital Adjustment Account and the Capital Receipts Reserve.</w:t>
      </w:r>
    </w:p>
    <w:p w14:paraId="0AFE337F" w14:textId="77777777" w:rsidR="0061572D" w:rsidRPr="00507C12" w:rsidRDefault="0061572D" w:rsidP="0061572D">
      <w:pPr>
        <w:spacing w:after="0"/>
        <w:rPr>
          <w:rFonts w:ascii="Arial" w:eastAsia="Times New Roman" w:hAnsi="Arial" w:cs="Arial"/>
          <w:szCs w:val="20"/>
          <w:lang w:eastAsia="en-GB"/>
        </w:rPr>
      </w:pPr>
    </w:p>
    <w:p w14:paraId="550A4396" w14:textId="77777777" w:rsidR="0061572D" w:rsidRPr="00507C12" w:rsidRDefault="0061572D" w:rsidP="0061572D">
      <w:pPr>
        <w:pStyle w:val="ListParagraph"/>
        <w:numPr>
          <w:ilvl w:val="0"/>
          <w:numId w:val="5"/>
        </w:numPr>
        <w:spacing w:after="0"/>
        <w:ind w:left="0" w:firstLine="0"/>
        <w:rPr>
          <w:rFonts w:ascii="Arial" w:eastAsia="Times New Roman" w:hAnsi="Arial" w:cs="Arial"/>
          <w:b/>
          <w:szCs w:val="20"/>
          <w:lang w:eastAsia="en-GB"/>
        </w:rPr>
      </w:pPr>
      <w:r w:rsidRPr="00507C12">
        <w:rPr>
          <w:rFonts w:ascii="Arial" w:eastAsia="Times New Roman" w:hAnsi="Arial" w:cs="Arial"/>
          <w:b/>
          <w:szCs w:val="20"/>
          <w:lang w:eastAsia="en-GB"/>
        </w:rPr>
        <w:t xml:space="preserve">  Joint Operations</w:t>
      </w:r>
    </w:p>
    <w:p w14:paraId="05CFB108" w14:textId="77777777" w:rsidR="0061572D" w:rsidRPr="00507C12" w:rsidRDefault="0061572D" w:rsidP="0061572D">
      <w:pPr>
        <w:spacing w:after="0"/>
        <w:rPr>
          <w:rFonts w:ascii="Arial" w:eastAsia="Times New Roman" w:hAnsi="Arial" w:cs="Arial"/>
          <w:b/>
          <w:szCs w:val="20"/>
          <w:u w:val="single"/>
          <w:lang w:eastAsia="en-GB"/>
        </w:rPr>
      </w:pPr>
    </w:p>
    <w:p w14:paraId="0BC723BA"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Joint operations are arrangements where the parties that have joint control of the arrangement have rights to the assets and obligations for the liabilities relating to the arrangement.  The activities undertaken by the Council in conjunction with the other joint operators involve the use of the assets and resources of those joint operators.    </w:t>
      </w:r>
    </w:p>
    <w:p w14:paraId="71B2434D" w14:textId="77777777" w:rsidR="0061572D" w:rsidRPr="00507C12" w:rsidRDefault="0061572D" w:rsidP="0061572D">
      <w:pPr>
        <w:spacing w:after="0"/>
        <w:rPr>
          <w:rFonts w:ascii="Arial" w:eastAsia="Times New Roman" w:hAnsi="Arial" w:cs="Arial"/>
          <w:szCs w:val="20"/>
          <w:lang w:eastAsia="en-GB"/>
        </w:rPr>
      </w:pPr>
    </w:p>
    <w:p w14:paraId="5ECCCBAB"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Mansfi</w:t>
      </w:r>
      <w:r>
        <w:rPr>
          <w:rFonts w:ascii="Arial" w:eastAsia="Times New Roman" w:hAnsi="Arial" w:cs="Arial"/>
          <w:szCs w:val="20"/>
          <w:lang w:eastAsia="en-GB"/>
        </w:rPr>
        <w:t>eld and District Crematorium is</w:t>
      </w:r>
      <w:r w:rsidRPr="00507C12">
        <w:rPr>
          <w:rFonts w:ascii="Arial" w:eastAsia="Times New Roman" w:hAnsi="Arial" w:cs="Arial"/>
          <w:szCs w:val="20"/>
          <w:lang w:eastAsia="en-GB"/>
        </w:rPr>
        <w:t xml:space="preserve"> recognised as a Joint arrangement between Mansfield District Council, Ashfield District Council and Newark and Sherwood District Council.  The Council accounts directly for its share of the assets, liabilities, income, expenditure and cash flows held arising from the o</w:t>
      </w:r>
      <w:r>
        <w:rPr>
          <w:rFonts w:ascii="Arial" w:eastAsia="Times New Roman" w:hAnsi="Arial" w:cs="Arial"/>
          <w:szCs w:val="20"/>
          <w:lang w:eastAsia="en-GB"/>
        </w:rPr>
        <w:t>perations of the Crematorium.</w:t>
      </w:r>
    </w:p>
    <w:p w14:paraId="71AE5222" w14:textId="77777777" w:rsidR="0061572D" w:rsidRPr="00507C12" w:rsidRDefault="0061572D" w:rsidP="0061572D">
      <w:pPr>
        <w:spacing w:after="0"/>
        <w:rPr>
          <w:rFonts w:ascii="Arial" w:eastAsia="Times New Roman" w:hAnsi="Arial" w:cs="Arial"/>
          <w:szCs w:val="20"/>
          <w:lang w:eastAsia="en-GB"/>
        </w:rPr>
      </w:pPr>
    </w:p>
    <w:p w14:paraId="4791DB96"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 xml:space="preserve">  Leases</w:t>
      </w:r>
    </w:p>
    <w:p w14:paraId="41A1DF6F" w14:textId="77777777" w:rsidR="0061572D" w:rsidRPr="00507C12" w:rsidRDefault="0061572D" w:rsidP="0061572D">
      <w:pPr>
        <w:spacing w:after="0"/>
        <w:outlineLvl w:val="0"/>
        <w:rPr>
          <w:rFonts w:ascii="Arial" w:eastAsia="Times New Roman" w:hAnsi="Arial" w:cs="Arial"/>
          <w:b/>
          <w:szCs w:val="20"/>
          <w:u w:val="single"/>
          <w:lang w:eastAsia="en-GB"/>
        </w:rPr>
      </w:pPr>
    </w:p>
    <w:p w14:paraId="7A058C46"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Leases are classified as finance leases where the terms of the lease transfer substantially all the risks and rewards incidental to ownership of the property, plant or equipment </w:t>
      </w:r>
      <w:r>
        <w:rPr>
          <w:rFonts w:ascii="Arial" w:eastAsia="Times New Roman" w:hAnsi="Arial" w:cs="Arial"/>
          <w:szCs w:val="20"/>
          <w:lang w:eastAsia="en-GB"/>
        </w:rPr>
        <w:t xml:space="preserve">from the lessor to the lessee. </w:t>
      </w:r>
      <w:r w:rsidRPr="00507C12">
        <w:rPr>
          <w:rFonts w:ascii="Arial" w:eastAsia="Times New Roman" w:hAnsi="Arial" w:cs="Arial"/>
          <w:szCs w:val="20"/>
          <w:lang w:eastAsia="en-GB"/>
        </w:rPr>
        <w:t>All other leases are classified as operating leases.</w:t>
      </w:r>
    </w:p>
    <w:p w14:paraId="41E3494C" w14:textId="77777777" w:rsidR="0061572D" w:rsidRPr="00507C12" w:rsidRDefault="0061572D" w:rsidP="0061572D">
      <w:pPr>
        <w:spacing w:after="0"/>
        <w:rPr>
          <w:rFonts w:ascii="Arial" w:eastAsia="Times New Roman" w:hAnsi="Arial" w:cs="Arial"/>
          <w:szCs w:val="20"/>
          <w:lang w:eastAsia="en-GB"/>
        </w:rPr>
      </w:pPr>
    </w:p>
    <w:p w14:paraId="477FC9CB" w14:textId="77777777" w:rsidR="0061572D" w:rsidRPr="00507C12" w:rsidRDefault="0061572D" w:rsidP="0061572D">
      <w:pPr>
        <w:pStyle w:val="Pa10"/>
        <w:spacing w:line="160" w:lineRule="atLeast"/>
        <w:rPr>
          <w:rFonts w:ascii="Arial" w:hAnsi="Arial" w:cs="Arial"/>
          <w:color w:val="000000"/>
          <w:sz w:val="22"/>
          <w:szCs w:val="20"/>
        </w:rPr>
      </w:pPr>
      <w:r w:rsidRPr="00507C12">
        <w:rPr>
          <w:rFonts w:ascii="Arial" w:hAnsi="Arial" w:cs="Arial"/>
          <w:color w:val="000000"/>
          <w:sz w:val="22"/>
          <w:szCs w:val="20"/>
        </w:rPr>
        <w:t xml:space="preserve">Where a lease covers both land and buildings, the land and buildings elements are considered separately for classification.  </w:t>
      </w:r>
    </w:p>
    <w:p w14:paraId="0C6D3AC7" w14:textId="77777777" w:rsidR="0061572D" w:rsidRPr="00507C12" w:rsidRDefault="0061572D" w:rsidP="0061572D">
      <w:pPr>
        <w:pStyle w:val="Pa10"/>
        <w:spacing w:line="160" w:lineRule="atLeast"/>
        <w:rPr>
          <w:rFonts w:ascii="Arial" w:hAnsi="Arial" w:cs="Arial"/>
          <w:color w:val="000000"/>
          <w:sz w:val="22"/>
          <w:szCs w:val="20"/>
        </w:rPr>
      </w:pPr>
    </w:p>
    <w:p w14:paraId="5574A973" w14:textId="77777777" w:rsidR="0061572D" w:rsidRPr="00507C12" w:rsidRDefault="0061572D" w:rsidP="0061572D">
      <w:pPr>
        <w:pStyle w:val="Pa10"/>
        <w:spacing w:line="160" w:lineRule="atLeast"/>
        <w:rPr>
          <w:rFonts w:ascii="Arial" w:eastAsia="Times New Roman" w:hAnsi="Arial" w:cs="Arial"/>
          <w:sz w:val="22"/>
          <w:szCs w:val="20"/>
          <w:lang w:eastAsia="en-GB"/>
        </w:rPr>
      </w:pPr>
      <w:r w:rsidRPr="00507C12">
        <w:rPr>
          <w:rFonts w:ascii="Arial" w:hAnsi="Arial" w:cs="Arial"/>
          <w:color w:val="000000"/>
          <w:sz w:val="22"/>
          <w:szCs w:val="20"/>
        </w:rPr>
        <w:t>Arrangements that do not have the legal status of a lease but convey a right to use an asset in return for payment are accounted for under this policy where fulfilment of the arrangement is dependent on the use of specific assets.</w:t>
      </w:r>
    </w:p>
    <w:p w14:paraId="779593B7" w14:textId="77777777" w:rsidR="0061572D" w:rsidRPr="00507C12" w:rsidRDefault="0061572D" w:rsidP="0061572D">
      <w:pPr>
        <w:spacing w:after="0"/>
        <w:rPr>
          <w:rFonts w:ascii="Arial" w:eastAsia="Times New Roman" w:hAnsi="Arial" w:cs="Arial"/>
          <w:b/>
          <w:szCs w:val="20"/>
          <w:lang w:eastAsia="en-GB"/>
        </w:rPr>
      </w:pPr>
    </w:p>
    <w:p w14:paraId="4050C5BF"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The Council as a Lessee:</w:t>
      </w:r>
    </w:p>
    <w:p w14:paraId="75BF0A5F" w14:textId="77777777" w:rsidR="0061572D" w:rsidRPr="00507C12" w:rsidRDefault="0061572D" w:rsidP="0061572D">
      <w:pPr>
        <w:spacing w:after="0"/>
        <w:rPr>
          <w:rFonts w:ascii="Arial" w:eastAsia="Times New Roman" w:hAnsi="Arial" w:cs="Arial"/>
          <w:b/>
          <w:szCs w:val="20"/>
          <w:lang w:eastAsia="en-GB"/>
        </w:rPr>
      </w:pPr>
    </w:p>
    <w:p w14:paraId="3CFDE47C"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b/>
          <w:iCs/>
          <w:szCs w:val="20"/>
          <w:lang w:eastAsia="en-GB"/>
        </w:rPr>
        <w:t xml:space="preserve">Finance Leases - </w:t>
      </w:r>
      <w:r w:rsidRPr="00507C12">
        <w:rPr>
          <w:rFonts w:ascii="Arial" w:eastAsia="Times New Roman" w:hAnsi="Arial" w:cs="Arial"/>
          <w:color w:val="000000"/>
          <w:szCs w:val="20"/>
          <w:lang w:eastAsia="en-GB"/>
        </w:rPr>
        <w:t xml:space="preserve">Property, plant and equipment held under finance leases is recognised on the Balance Sheet at the commencement of the lease at its fair value measured at the lease’s inception (or the present value of the minimum lease payments, if lower).  The asset recognised is matched by a liability for the obligation to pay the lessor.  Initial direct costs of the Council are added to the carrying amount of the asset.  Premiums paid on entry into a lease are applied to writing down the lease liability.  Contingent rents are charged as expenses in the periods in which they are incurred.  </w:t>
      </w:r>
    </w:p>
    <w:p w14:paraId="73333A31"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p>
    <w:p w14:paraId="0F4C5F24"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Lease payments are apportioned between:</w:t>
      </w:r>
    </w:p>
    <w:p w14:paraId="7FEAACEF" w14:textId="6E9A6E1B" w:rsidR="0061572D" w:rsidRDefault="0061572D" w:rsidP="0061572D">
      <w:pPr>
        <w:pStyle w:val="ListParagraph"/>
        <w:numPr>
          <w:ilvl w:val="0"/>
          <w:numId w:val="19"/>
        </w:numPr>
        <w:shd w:val="clear" w:color="auto" w:fill="FFFFFF"/>
        <w:tabs>
          <w:tab w:val="left" w:pos="284"/>
        </w:tabs>
        <w:spacing w:after="100" w:afterAutospacing="1"/>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a charge for the acquisition of the interest in the property, plant or equipment – applied to write down the lease liability, and</w:t>
      </w:r>
    </w:p>
    <w:p w14:paraId="357EF520" w14:textId="77777777" w:rsidR="0094742F" w:rsidRPr="00507C12" w:rsidRDefault="0094742F" w:rsidP="0094742F">
      <w:pPr>
        <w:pStyle w:val="ListParagraph"/>
        <w:shd w:val="clear" w:color="auto" w:fill="FFFFFF"/>
        <w:tabs>
          <w:tab w:val="left" w:pos="284"/>
        </w:tabs>
        <w:spacing w:after="100" w:afterAutospacing="1"/>
        <w:rPr>
          <w:rFonts w:ascii="Arial" w:eastAsia="Times New Roman" w:hAnsi="Arial" w:cs="Arial"/>
          <w:color w:val="000000"/>
          <w:szCs w:val="20"/>
          <w:lang w:eastAsia="en-GB"/>
        </w:rPr>
      </w:pPr>
    </w:p>
    <w:p w14:paraId="68F94A41" w14:textId="77777777" w:rsidR="0061572D" w:rsidRPr="00507C12" w:rsidRDefault="0061572D" w:rsidP="0061572D">
      <w:pPr>
        <w:pStyle w:val="ListParagraph"/>
        <w:numPr>
          <w:ilvl w:val="0"/>
          <w:numId w:val="19"/>
        </w:numPr>
        <w:shd w:val="clear" w:color="auto" w:fill="FFFFFF"/>
        <w:tabs>
          <w:tab w:val="left" w:pos="284"/>
        </w:tabs>
        <w:spacing w:after="100" w:afterAutospacing="1"/>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a finance charge (debited to the Financing and Investment Income and Expenditure line in the Comprehensive Income and Expenditure Statement)</w:t>
      </w:r>
    </w:p>
    <w:p w14:paraId="3EA27C26" w14:textId="39268720" w:rsidR="0061572D" w:rsidRPr="00507C12" w:rsidRDefault="0061572D" w:rsidP="0061572D">
      <w:pPr>
        <w:shd w:val="clear" w:color="auto" w:fill="FFFFFF"/>
        <w:spacing w:after="100" w:afterAutospacing="1"/>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 xml:space="preserve">Property, plant and equipment recognised under finance leases is accounted for using the policies applied generally to such assets, subject to depreciation being charged over the lease term if this is shorter than the asset’s estimated useful life (where ownership of the asset does not transfer to the </w:t>
      </w:r>
      <w:r w:rsidR="00882CF1">
        <w:rPr>
          <w:rFonts w:ascii="Arial" w:eastAsia="Times New Roman" w:hAnsi="Arial" w:cs="Arial"/>
          <w:color w:val="000000"/>
          <w:szCs w:val="20"/>
          <w:lang w:eastAsia="en-GB"/>
        </w:rPr>
        <w:t>council</w:t>
      </w:r>
      <w:r w:rsidRPr="00507C12">
        <w:rPr>
          <w:rFonts w:ascii="Arial" w:eastAsia="Times New Roman" w:hAnsi="Arial" w:cs="Arial"/>
          <w:color w:val="000000"/>
          <w:szCs w:val="20"/>
          <w:lang w:eastAsia="en-GB"/>
        </w:rPr>
        <w:t xml:space="preserve"> at the end of the lease period).</w:t>
      </w:r>
    </w:p>
    <w:p w14:paraId="7A81A427"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The Council is not required to raise council tax to cover depreciation or revaluation and impairment losses arising on leased assets. Instead a prudent annual contribution is made from revenue funds towards the deemed capital investment in accordance with statutory requirements. Depreciation, revaluation and impairment losses are therefore substituted by a revenue contribution to the General Fund Balance, by way of an adjusting transaction with the Capital Adjustment Account in the Movement in Reserves Statement for the difference between the two.</w:t>
      </w:r>
    </w:p>
    <w:p w14:paraId="5A837104"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p>
    <w:p w14:paraId="7F93823D" w14:textId="07046DCC" w:rsidR="0061572D" w:rsidRPr="00507C12" w:rsidRDefault="0061572D" w:rsidP="0061572D">
      <w:pPr>
        <w:shd w:val="clear" w:color="auto" w:fill="FFFFFF"/>
        <w:spacing w:after="0"/>
        <w:rPr>
          <w:rFonts w:ascii="Arial" w:eastAsia="Times New Roman" w:hAnsi="Arial" w:cs="Arial"/>
          <w:iCs/>
          <w:szCs w:val="20"/>
          <w:lang w:eastAsia="en-GB"/>
        </w:rPr>
      </w:pPr>
      <w:r w:rsidRPr="00507C12">
        <w:rPr>
          <w:rFonts w:ascii="Arial" w:eastAsia="Times New Roman" w:hAnsi="Arial" w:cs="Arial"/>
          <w:b/>
          <w:iCs/>
          <w:szCs w:val="20"/>
          <w:lang w:eastAsia="en-GB"/>
        </w:rPr>
        <w:t xml:space="preserve">Operating </w:t>
      </w:r>
      <w:r w:rsidR="004D1200" w:rsidRPr="00507C12">
        <w:rPr>
          <w:rFonts w:ascii="Arial" w:eastAsia="Times New Roman" w:hAnsi="Arial" w:cs="Arial"/>
          <w:b/>
          <w:iCs/>
          <w:szCs w:val="20"/>
          <w:lang w:eastAsia="en-GB"/>
        </w:rPr>
        <w:t>Leases -</w:t>
      </w:r>
      <w:r w:rsidRPr="00507C12">
        <w:rPr>
          <w:rFonts w:ascii="Arial" w:eastAsia="Times New Roman" w:hAnsi="Arial" w:cs="Arial"/>
          <w:b/>
          <w:iCs/>
          <w:szCs w:val="20"/>
          <w:lang w:eastAsia="en-GB"/>
        </w:rPr>
        <w:t xml:space="preserve"> </w:t>
      </w:r>
      <w:r w:rsidRPr="00507C12">
        <w:rPr>
          <w:rFonts w:ascii="Arial" w:eastAsia="Times New Roman" w:hAnsi="Arial" w:cs="Arial"/>
          <w:iCs/>
          <w:szCs w:val="20"/>
          <w:lang w:eastAsia="en-GB"/>
        </w:rPr>
        <w:t>Rentals paid under operating leases are charged to the Comprehensive Income and Expenditure Statement as an expense of the services benefiting from use of the leased property, plant or equipment.  Charges are made on a straight-line basis over the life of the lease; even if this does not match the pattern of payments (for example there is a rent-free period at the commencement of the lease).</w:t>
      </w:r>
    </w:p>
    <w:p w14:paraId="58F84B8E" w14:textId="77777777" w:rsidR="0061572D" w:rsidRPr="00507C12" w:rsidRDefault="0061572D" w:rsidP="0061572D">
      <w:pPr>
        <w:shd w:val="clear" w:color="auto" w:fill="FFFFFF"/>
        <w:spacing w:after="0"/>
        <w:rPr>
          <w:rFonts w:ascii="Arial" w:eastAsia="Times New Roman" w:hAnsi="Arial" w:cs="Arial"/>
          <w:iCs/>
          <w:szCs w:val="20"/>
          <w:lang w:eastAsia="en-GB"/>
        </w:rPr>
      </w:pPr>
    </w:p>
    <w:p w14:paraId="487767EB" w14:textId="77777777" w:rsidR="0061572D" w:rsidRPr="00507C12" w:rsidRDefault="0061572D" w:rsidP="0061572D">
      <w:pPr>
        <w:shd w:val="clear" w:color="auto" w:fill="FFFFFF"/>
        <w:spacing w:after="0"/>
        <w:rPr>
          <w:rFonts w:ascii="Arial" w:eastAsia="Times New Roman" w:hAnsi="Arial" w:cs="Arial"/>
          <w:b/>
          <w:bCs/>
          <w:szCs w:val="20"/>
          <w:lang w:eastAsia="en-GB"/>
        </w:rPr>
      </w:pPr>
      <w:r w:rsidRPr="00507C12">
        <w:rPr>
          <w:rFonts w:ascii="Arial" w:eastAsia="Times New Roman" w:hAnsi="Arial" w:cs="Arial"/>
          <w:b/>
          <w:bCs/>
          <w:szCs w:val="20"/>
          <w:lang w:eastAsia="en-GB"/>
        </w:rPr>
        <w:t>The Council as Lessor:</w:t>
      </w:r>
    </w:p>
    <w:p w14:paraId="27DA7A57" w14:textId="77777777" w:rsidR="0061572D" w:rsidRPr="00507C12" w:rsidRDefault="0061572D" w:rsidP="0061572D">
      <w:pPr>
        <w:shd w:val="clear" w:color="auto" w:fill="FFFFFF"/>
        <w:spacing w:after="0"/>
        <w:rPr>
          <w:rFonts w:ascii="Arial" w:eastAsia="Times New Roman" w:hAnsi="Arial" w:cs="Arial"/>
          <w:b/>
          <w:bCs/>
          <w:szCs w:val="20"/>
          <w:lang w:eastAsia="en-GB"/>
        </w:rPr>
      </w:pPr>
    </w:p>
    <w:p w14:paraId="03941887" w14:textId="77777777" w:rsidR="0061572D" w:rsidRPr="00507C12" w:rsidRDefault="0061572D" w:rsidP="0061572D">
      <w:pPr>
        <w:shd w:val="clear" w:color="auto" w:fill="FFFFFF"/>
        <w:spacing w:after="0"/>
        <w:rPr>
          <w:rFonts w:ascii="Arial" w:eastAsia="Times New Roman" w:hAnsi="Arial" w:cs="Arial"/>
          <w:b/>
          <w:iCs/>
          <w:szCs w:val="20"/>
          <w:lang w:eastAsia="en-GB"/>
        </w:rPr>
      </w:pPr>
      <w:r w:rsidRPr="00507C12">
        <w:rPr>
          <w:rFonts w:ascii="Arial" w:eastAsia="Times New Roman" w:hAnsi="Arial" w:cs="Arial"/>
          <w:b/>
          <w:iCs/>
          <w:szCs w:val="20"/>
          <w:lang w:eastAsia="en-GB"/>
        </w:rPr>
        <w:t>Finance Leases</w:t>
      </w:r>
    </w:p>
    <w:p w14:paraId="637D9A01"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 xml:space="preserve">Where the Council grants a finance lease over a property or an item of plant or equipment, the relevant asset is written out of the Balance Sheet as a disposal.  At the commencement of the lease, the carrying amount of the asset in the Balance Sheet (whether property, plant and equipment or assets held for sale) is written off to the Other Operating Expenditure line in the Comprehensive Income and Expenditure Statement as part of the gain or loss on disposal.  A gain, representing the Council’s net investment in the lease, is credited to the same line in the Comprehensive Income and Expenditure Statement also as part of the gain or loss on disposal (that is netted off against the carrying value of the asset at the time of disposal), matched by a lease (long-term debtor) asset in the Balance Sheet. </w:t>
      </w:r>
    </w:p>
    <w:p w14:paraId="648A0395"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p>
    <w:p w14:paraId="1DB86890"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Lease rentals receivable are apportioned between:</w:t>
      </w:r>
    </w:p>
    <w:p w14:paraId="46901256" w14:textId="77777777" w:rsidR="0061572D" w:rsidRPr="00507C12" w:rsidRDefault="0061572D" w:rsidP="0061572D">
      <w:pPr>
        <w:numPr>
          <w:ilvl w:val="0"/>
          <w:numId w:val="1"/>
        </w:numPr>
        <w:shd w:val="clear" w:color="auto" w:fill="FFFFFF"/>
        <w:tabs>
          <w:tab w:val="clear" w:pos="720"/>
          <w:tab w:val="num" w:pos="284"/>
        </w:tabs>
        <w:spacing w:after="100" w:afterAutospacing="1"/>
        <w:ind w:left="284" w:hanging="284"/>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a charge for the acquisition of the interest in the property – applied to write down the lease debtor (together with any premiums received), and</w:t>
      </w:r>
    </w:p>
    <w:p w14:paraId="201C45A9" w14:textId="77777777" w:rsidR="0061572D" w:rsidRPr="00507C12" w:rsidRDefault="0061572D" w:rsidP="0061572D">
      <w:pPr>
        <w:numPr>
          <w:ilvl w:val="0"/>
          <w:numId w:val="1"/>
        </w:numPr>
        <w:shd w:val="clear" w:color="auto" w:fill="FFFFFF"/>
        <w:tabs>
          <w:tab w:val="clear" w:pos="720"/>
          <w:tab w:val="num" w:pos="284"/>
        </w:tabs>
        <w:spacing w:after="0"/>
        <w:ind w:left="284" w:hanging="284"/>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finance income (credited to the Financing and Investment Income and Expenditure line in the Comprehensive Income and Expenditure Statement)</w:t>
      </w:r>
    </w:p>
    <w:p w14:paraId="77A924C1"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p>
    <w:p w14:paraId="2EF40171"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 xml:space="preserve">The gain credited to the Comprehensive Income and Expenditure Statement on disposal is not permitted by statute to increase the General Fund Balance and is required to be treated as a capital receipt.  Where a premium has been received, this is posted out of the General Fund Balance to the Capital Receipts Reserve in the Movement in Reserves Statement. Where the amount due in relation to the lease asset is to be settled by the payment of rentals in future financial years, this is posted out of the General Fund Balance to the Deferred Capital Receipts Reserve in the Movement in Reserves Statement.  When the future rentals are received, the element for the capital receipt for the disposal of the asset is used to write down the lease debtor.  At this point, the deferred capital receipts are transferred to the Capital Receipts Reserve.  </w:t>
      </w:r>
    </w:p>
    <w:p w14:paraId="61E8134E"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p>
    <w:p w14:paraId="1F398D93"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The written-off value of disposals is not a charge against council tax, as the cost of non-current assets is fully provided for under separate arrangements for capital financing.  Amounts are therefore appropriated to the Capital Adjustment Account from the General Fund Balance in the Movement in Reserves Statement.</w:t>
      </w:r>
    </w:p>
    <w:p w14:paraId="7DF90C00"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p>
    <w:p w14:paraId="564E66C4" w14:textId="77777777" w:rsidR="0061572D" w:rsidRPr="00507C12" w:rsidRDefault="0061572D" w:rsidP="0061572D">
      <w:pPr>
        <w:shd w:val="clear" w:color="auto" w:fill="FFFFFF"/>
        <w:spacing w:after="0"/>
        <w:rPr>
          <w:rFonts w:ascii="Arial" w:eastAsia="Times New Roman" w:hAnsi="Arial" w:cs="Arial"/>
          <w:b/>
          <w:iCs/>
          <w:szCs w:val="20"/>
          <w:lang w:eastAsia="en-GB"/>
        </w:rPr>
      </w:pPr>
      <w:r w:rsidRPr="00507C12">
        <w:rPr>
          <w:rFonts w:ascii="Arial" w:eastAsia="Times New Roman" w:hAnsi="Arial" w:cs="Arial"/>
          <w:b/>
          <w:iCs/>
          <w:szCs w:val="20"/>
          <w:lang w:eastAsia="en-GB"/>
        </w:rPr>
        <w:t>Operating Leases</w:t>
      </w:r>
    </w:p>
    <w:p w14:paraId="18C95655" w14:textId="77777777" w:rsidR="0061572D"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 xml:space="preserve">Where the Council grants an operating lease over a property or an item of plant or equipment, the asset is retained in the Balance Sheet.  Rental income is credited to the Other Operating Expenditure line in the Comprehensive Income and Expenditure Statement.  Credits are made on a straight-line basis over the life of the lease, even if this does not match the pattern of payments (for example, where there is a premium paid at the commencement of the lease).  </w:t>
      </w:r>
    </w:p>
    <w:p w14:paraId="7F01A848" w14:textId="77777777" w:rsidR="0061572D" w:rsidRDefault="0061572D" w:rsidP="0061572D">
      <w:pPr>
        <w:shd w:val="clear" w:color="auto" w:fill="FFFFFF"/>
        <w:spacing w:after="0"/>
        <w:rPr>
          <w:rFonts w:ascii="Arial" w:eastAsia="Times New Roman" w:hAnsi="Arial" w:cs="Arial"/>
          <w:color w:val="000000"/>
          <w:szCs w:val="20"/>
          <w:lang w:eastAsia="en-GB"/>
        </w:rPr>
      </w:pPr>
    </w:p>
    <w:p w14:paraId="7DA1D534"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r w:rsidRPr="00507C12">
        <w:rPr>
          <w:rFonts w:ascii="Arial" w:eastAsia="Times New Roman" w:hAnsi="Arial" w:cs="Arial"/>
          <w:color w:val="000000"/>
          <w:szCs w:val="20"/>
          <w:lang w:eastAsia="en-GB"/>
        </w:rPr>
        <w:t>Initial direct costs incurred in negotiating and arranging the lease are added to the carrying amount of the relevant asset and charged as an expense over the lease term on the same basis as rental income.</w:t>
      </w:r>
    </w:p>
    <w:p w14:paraId="447D2041" w14:textId="77777777" w:rsidR="0061572D" w:rsidRPr="00507C12" w:rsidRDefault="0061572D" w:rsidP="0061572D">
      <w:pPr>
        <w:shd w:val="clear" w:color="auto" w:fill="FFFFFF"/>
        <w:spacing w:after="0"/>
        <w:rPr>
          <w:rFonts w:ascii="Arial" w:eastAsia="Times New Roman" w:hAnsi="Arial" w:cs="Arial"/>
          <w:color w:val="000000"/>
          <w:szCs w:val="20"/>
          <w:lang w:eastAsia="en-GB"/>
        </w:rPr>
      </w:pPr>
    </w:p>
    <w:p w14:paraId="0F4B3AE7"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Overheads and Support Services</w:t>
      </w:r>
    </w:p>
    <w:p w14:paraId="541F68DD" w14:textId="77777777" w:rsidR="0061572D" w:rsidRPr="00507C12" w:rsidRDefault="0061572D" w:rsidP="0061572D">
      <w:pPr>
        <w:spacing w:after="0"/>
        <w:outlineLvl w:val="0"/>
        <w:rPr>
          <w:rFonts w:ascii="Arial" w:eastAsia="Times New Roman" w:hAnsi="Arial" w:cs="Arial"/>
          <w:b/>
          <w:szCs w:val="20"/>
          <w:lang w:eastAsia="en-GB"/>
        </w:rPr>
      </w:pPr>
    </w:p>
    <w:p w14:paraId="5406C1EC" w14:textId="77777777" w:rsidR="0061572D" w:rsidRPr="00507C12" w:rsidRDefault="0061572D" w:rsidP="0061572D">
      <w:pPr>
        <w:spacing w:after="0"/>
        <w:rPr>
          <w:rFonts w:ascii="Arial" w:hAnsi="Arial" w:cs="Arial"/>
          <w:color w:val="000000"/>
          <w:szCs w:val="20"/>
        </w:rPr>
      </w:pPr>
      <w:r w:rsidRPr="00507C12">
        <w:rPr>
          <w:rFonts w:ascii="Arial" w:hAnsi="Arial" w:cs="Arial"/>
          <w:color w:val="000000"/>
          <w:szCs w:val="20"/>
        </w:rPr>
        <w:t>The costs of overheads and support services are charged to service segments in accordance with the Council’s arrangements for accountability and financial performance.</w:t>
      </w:r>
    </w:p>
    <w:p w14:paraId="224A5A32" w14:textId="77777777" w:rsidR="0061572D" w:rsidRPr="00507C12" w:rsidRDefault="0061572D" w:rsidP="0061572D">
      <w:pPr>
        <w:spacing w:after="0"/>
        <w:rPr>
          <w:rFonts w:ascii="Arial" w:eastAsia="Times New Roman" w:hAnsi="Arial" w:cs="Arial"/>
          <w:szCs w:val="20"/>
          <w:lang w:eastAsia="en-GB"/>
        </w:rPr>
      </w:pPr>
    </w:p>
    <w:p w14:paraId="1972F361"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Property, Plant and Equipment</w:t>
      </w:r>
    </w:p>
    <w:p w14:paraId="69EF8117" w14:textId="77777777" w:rsidR="0061572D" w:rsidRPr="00507C12" w:rsidRDefault="0061572D" w:rsidP="0061572D">
      <w:pPr>
        <w:spacing w:after="0"/>
        <w:rPr>
          <w:rFonts w:ascii="Arial" w:eastAsia="Times New Roman" w:hAnsi="Arial" w:cs="Arial"/>
          <w:b/>
          <w:szCs w:val="20"/>
          <w:lang w:eastAsia="en-GB"/>
        </w:rPr>
      </w:pPr>
    </w:p>
    <w:p w14:paraId="243839AE"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Assets that have a physical substance and are held for use in the production or supply of goods or services for rental to others or for administrative purposes and that are expected to be used during more than one financial year are classified as property, plant and equipment.  Acquisitions of assets which are less than £10,000 (the Council’s de minimus level) are charged straight to the Comprehensive Income and Expenditure Statement.</w:t>
      </w:r>
    </w:p>
    <w:p w14:paraId="1C099863" w14:textId="77777777" w:rsidR="0061572D" w:rsidRPr="00507C12" w:rsidRDefault="0061572D" w:rsidP="0061572D">
      <w:pPr>
        <w:spacing w:after="0"/>
        <w:rPr>
          <w:rFonts w:ascii="Arial" w:eastAsia="Times New Roman" w:hAnsi="Arial" w:cs="Arial"/>
          <w:szCs w:val="20"/>
          <w:lang w:eastAsia="en-GB"/>
        </w:rPr>
      </w:pPr>
    </w:p>
    <w:p w14:paraId="3727CF14"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Recognition</w:t>
      </w:r>
    </w:p>
    <w:p w14:paraId="0D400630"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Expenditure on the acquisition, creation or enhancement of property, plant and equipment is capitalised on an accruals basis, provided that it is probable that the future economic benefits or service potential associated with the item flow to the Council and the cost of the item can be measured reliably.  Expenditure that maintains but does not add to an asset’s potential to deliver future economic benefits (for example, repairs and maintenance) is charged to as an expense when it is incurred.</w:t>
      </w:r>
    </w:p>
    <w:p w14:paraId="6C3A23B2" w14:textId="77777777" w:rsidR="007C22CD" w:rsidRDefault="007C22CD" w:rsidP="0061572D">
      <w:pPr>
        <w:spacing w:after="0"/>
        <w:rPr>
          <w:rFonts w:ascii="Arial" w:eastAsia="Times New Roman" w:hAnsi="Arial" w:cs="Arial"/>
          <w:b/>
          <w:szCs w:val="20"/>
          <w:lang w:eastAsia="en-GB"/>
        </w:rPr>
      </w:pPr>
    </w:p>
    <w:p w14:paraId="0D784FB7"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Measurement</w:t>
      </w:r>
    </w:p>
    <w:p w14:paraId="5B96D042"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Assets are initially measured at cost comprising:</w:t>
      </w:r>
    </w:p>
    <w:p w14:paraId="43C05755" w14:textId="77777777" w:rsidR="0061572D" w:rsidRPr="00507C12" w:rsidRDefault="0061572D" w:rsidP="0061572D">
      <w:pPr>
        <w:pStyle w:val="ListParagraph"/>
        <w:numPr>
          <w:ilvl w:val="0"/>
          <w:numId w:val="3"/>
        </w:numPr>
        <w:spacing w:after="0"/>
        <w:ind w:left="426" w:hanging="426"/>
        <w:rPr>
          <w:rFonts w:ascii="Arial" w:eastAsia="Times New Roman" w:hAnsi="Arial" w:cs="Arial"/>
          <w:szCs w:val="20"/>
          <w:lang w:eastAsia="en-GB"/>
        </w:rPr>
      </w:pPr>
      <w:r w:rsidRPr="00507C12">
        <w:rPr>
          <w:rFonts w:ascii="Arial" w:eastAsia="Times New Roman" w:hAnsi="Arial" w:cs="Arial"/>
          <w:szCs w:val="20"/>
          <w:lang w:eastAsia="en-GB"/>
        </w:rPr>
        <w:t>The purchase price</w:t>
      </w:r>
    </w:p>
    <w:p w14:paraId="44E32C2C" w14:textId="2C60E93F" w:rsidR="0061572D" w:rsidRDefault="0061572D" w:rsidP="0061572D">
      <w:pPr>
        <w:pStyle w:val="ListParagraph"/>
        <w:numPr>
          <w:ilvl w:val="0"/>
          <w:numId w:val="3"/>
        </w:numPr>
        <w:spacing w:after="0"/>
        <w:ind w:left="426" w:hanging="426"/>
        <w:rPr>
          <w:rFonts w:ascii="Arial" w:eastAsia="Times New Roman" w:hAnsi="Arial" w:cs="Arial"/>
          <w:szCs w:val="20"/>
          <w:lang w:eastAsia="en-GB"/>
        </w:rPr>
      </w:pPr>
      <w:r w:rsidRPr="00507C12">
        <w:rPr>
          <w:rFonts w:ascii="Arial" w:eastAsia="Times New Roman" w:hAnsi="Arial" w:cs="Arial"/>
          <w:szCs w:val="20"/>
          <w:lang w:eastAsia="en-GB"/>
        </w:rPr>
        <w:t>Any costs attributable to bringing the asset to the location and condition necessary for it to be capable of operating in the manner intended by management</w:t>
      </w:r>
    </w:p>
    <w:p w14:paraId="1CE0D2F5" w14:textId="77777777" w:rsidR="0094742F" w:rsidRPr="00507C12" w:rsidRDefault="0094742F" w:rsidP="0094742F">
      <w:pPr>
        <w:pStyle w:val="ListParagraph"/>
        <w:spacing w:after="0"/>
        <w:ind w:left="426"/>
        <w:rPr>
          <w:rFonts w:ascii="Arial" w:eastAsia="Times New Roman" w:hAnsi="Arial" w:cs="Arial"/>
          <w:szCs w:val="20"/>
          <w:lang w:eastAsia="en-GB"/>
        </w:rPr>
      </w:pPr>
    </w:p>
    <w:p w14:paraId="5A227B16" w14:textId="77777777" w:rsidR="0061572D" w:rsidRPr="00507C12" w:rsidRDefault="0061572D" w:rsidP="0061572D">
      <w:pPr>
        <w:pStyle w:val="ListParagraph"/>
        <w:numPr>
          <w:ilvl w:val="0"/>
          <w:numId w:val="3"/>
        </w:numPr>
        <w:spacing w:after="0"/>
        <w:ind w:left="360"/>
        <w:rPr>
          <w:rFonts w:ascii="Arial" w:eastAsia="Times New Roman" w:hAnsi="Arial" w:cs="Arial"/>
          <w:szCs w:val="20"/>
          <w:lang w:eastAsia="en-GB"/>
        </w:rPr>
      </w:pPr>
      <w:r w:rsidRPr="00507C12">
        <w:rPr>
          <w:rFonts w:ascii="Arial" w:eastAsia="Times New Roman" w:hAnsi="Arial" w:cs="Arial"/>
          <w:szCs w:val="20"/>
          <w:lang w:eastAsia="en-GB"/>
        </w:rPr>
        <w:t>The initial estimate of the costs of dismantling and removing the item and restoring the site on which it is located.</w:t>
      </w:r>
    </w:p>
    <w:p w14:paraId="77D8D26E" w14:textId="77777777" w:rsidR="0061572D" w:rsidRPr="00507C12" w:rsidRDefault="0061572D" w:rsidP="0061572D">
      <w:pPr>
        <w:spacing w:after="0"/>
        <w:rPr>
          <w:rFonts w:ascii="Arial" w:eastAsia="Times New Roman" w:hAnsi="Arial" w:cs="Arial"/>
          <w:szCs w:val="20"/>
          <w:lang w:eastAsia="en-GB"/>
        </w:rPr>
      </w:pPr>
    </w:p>
    <w:p w14:paraId="540DC530" w14:textId="77777777" w:rsidR="0061572D" w:rsidRPr="00507C12" w:rsidRDefault="0061572D" w:rsidP="0061572D">
      <w:pPr>
        <w:spacing w:after="0"/>
        <w:rPr>
          <w:rFonts w:ascii="Arial" w:hAnsi="Arial" w:cs="Arial"/>
          <w:color w:val="000000"/>
          <w:szCs w:val="20"/>
        </w:rPr>
      </w:pPr>
      <w:r w:rsidRPr="00507C12">
        <w:rPr>
          <w:rFonts w:ascii="Arial" w:hAnsi="Arial" w:cs="Arial"/>
          <w:color w:val="000000"/>
          <w:szCs w:val="20"/>
        </w:rPr>
        <w:t>The Council does not capitalise borrowing costs incurred whilst assets are under construction.</w:t>
      </w:r>
    </w:p>
    <w:p w14:paraId="2F52ACC3" w14:textId="77777777" w:rsidR="0061572D" w:rsidRPr="00507C12" w:rsidRDefault="0061572D" w:rsidP="0061572D">
      <w:pPr>
        <w:spacing w:after="0"/>
        <w:rPr>
          <w:rFonts w:ascii="Arial" w:hAnsi="Arial" w:cs="Arial"/>
          <w:color w:val="000000"/>
          <w:szCs w:val="20"/>
        </w:rPr>
      </w:pPr>
    </w:p>
    <w:p w14:paraId="11BA8504"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Assets are then carried on the Balance Sheet on the following measurement basis:</w:t>
      </w:r>
    </w:p>
    <w:p w14:paraId="3B8DAB91" w14:textId="77777777" w:rsidR="0061572D" w:rsidRPr="00507C12" w:rsidRDefault="0061572D" w:rsidP="0061572D">
      <w:pPr>
        <w:spacing w:after="0"/>
        <w:rPr>
          <w:rFonts w:ascii="Arial" w:eastAsia="Times New Roman" w:hAnsi="Arial" w:cs="Arial"/>
          <w:szCs w:val="20"/>
          <w:lang w:eastAsia="en-GB"/>
        </w:rPr>
      </w:pPr>
    </w:p>
    <w:tbl>
      <w:tblPr>
        <w:tblStyle w:val="TableGrid11"/>
        <w:tblW w:w="9214" w:type="dxa"/>
        <w:tblInd w:w="108" w:type="dxa"/>
        <w:tblLook w:val="01E0" w:firstRow="1" w:lastRow="1" w:firstColumn="1" w:lastColumn="1" w:noHBand="0" w:noVBand="0"/>
      </w:tblPr>
      <w:tblGrid>
        <w:gridCol w:w="4253"/>
        <w:gridCol w:w="4961"/>
      </w:tblGrid>
      <w:tr w:rsidR="0061572D" w:rsidRPr="00507C12" w14:paraId="4EBE4627" w14:textId="77777777" w:rsidTr="00AC14A4">
        <w:tc>
          <w:tcPr>
            <w:tcW w:w="4253" w:type="dxa"/>
          </w:tcPr>
          <w:p w14:paraId="44FBAD98" w14:textId="77777777" w:rsidR="0061572D" w:rsidRPr="00507C12" w:rsidRDefault="0061572D" w:rsidP="00AC14A4">
            <w:pPr>
              <w:rPr>
                <w:rFonts w:ascii="Arial" w:eastAsia="Calibri" w:hAnsi="Arial" w:cs="Arial"/>
                <w:b/>
                <w:szCs w:val="20"/>
                <w:lang w:eastAsia="en-GB"/>
              </w:rPr>
            </w:pPr>
            <w:r w:rsidRPr="00507C12">
              <w:rPr>
                <w:rFonts w:ascii="Arial" w:eastAsia="Calibri" w:hAnsi="Arial" w:cs="Arial"/>
                <w:b/>
                <w:szCs w:val="20"/>
                <w:lang w:eastAsia="en-GB"/>
              </w:rPr>
              <w:t>Asset Category</w:t>
            </w:r>
          </w:p>
        </w:tc>
        <w:tc>
          <w:tcPr>
            <w:tcW w:w="4961" w:type="dxa"/>
          </w:tcPr>
          <w:p w14:paraId="063F8AD8" w14:textId="77777777" w:rsidR="0061572D" w:rsidRPr="00507C12" w:rsidRDefault="0061572D" w:rsidP="00AC14A4">
            <w:pPr>
              <w:rPr>
                <w:rFonts w:ascii="Arial" w:eastAsia="Calibri" w:hAnsi="Arial" w:cs="Arial"/>
                <w:b/>
                <w:szCs w:val="20"/>
                <w:lang w:eastAsia="en-GB"/>
              </w:rPr>
            </w:pPr>
            <w:r w:rsidRPr="00507C12">
              <w:rPr>
                <w:rFonts w:ascii="Arial" w:eastAsia="Calibri" w:hAnsi="Arial" w:cs="Arial"/>
                <w:b/>
                <w:szCs w:val="20"/>
                <w:lang w:eastAsia="en-GB"/>
              </w:rPr>
              <w:t>Basis of Valuation</w:t>
            </w:r>
          </w:p>
        </w:tc>
      </w:tr>
      <w:tr w:rsidR="0061572D" w:rsidRPr="00507C12" w14:paraId="425F7099" w14:textId="77777777" w:rsidTr="00AC14A4">
        <w:tc>
          <w:tcPr>
            <w:tcW w:w="4253" w:type="dxa"/>
          </w:tcPr>
          <w:p w14:paraId="74961D28"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Council Dwellings</w:t>
            </w:r>
          </w:p>
        </w:tc>
        <w:tc>
          <w:tcPr>
            <w:tcW w:w="4961" w:type="dxa"/>
          </w:tcPr>
          <w:p w14:paraId="3DE98350"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Current value determined using the basis of existing use value for social housing (EUV-SH)</w:t>
            </w:r>
          </w:p>
        </w:tc>
      </w:tr>
      <w:tr w:rsidR="0061572D" w:rsidRPr="00507C12" w14:paraId="1007206A" w14:textId="77777777" w:rsidTr="00AC14A4">
        <w:tc>
          <w:tcPr>
            <w:tcW w:w="4253" w:type="dxa"/>
          </w:tcPr>
          <w:p w14:paraId="626F83EF"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Other Land and Buildings</w:t>
            </w:r>
          </w:p>
        </w:tc>
        <w:tc>
          <w:tcPr>
            <w:tcW w:w="4961" w:type="dxa"/>
          </w:tcPr>
          <w:p w14:paraId="6B25464E"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Current value determined as the amount that would be paid for the asset in its existing use (existing use value – EUV) except where there is no market where depreciated replacement cost is used as an estimate of current value.</w:t>
            </w:r>
            <w:r w:rsidRPr="00507C12" w:rsidDel="00BC2B25">
              <w:rPr>
                <w:rFonts w:ascii="Arial" w:eastAsia="Calibri" w:hAnsi="Arial" w:cs="Arial"/>
                <w:szCs w:val="20"/>
                <w:lang w:eastAsia="en-GB"/>
              </w:rPr>
              <w:t xml:space="preserve"> </w:t>
            </w:r>
          </w:p>
        </w:tc>
      </w:tr>
      <w:tr w:rsidR="0061572D" w:rsidRPr="00507C12" w14:paraId="2C5E7984" w14:textId="77777777" w:rsidTr="00AC14A4">
        <w:tc>
          <w:tcPr>
            <w:tcW w:w="4253" w:type="dxa"/>
          </w:tcPr>
          <w:p w14:paraId="7C734291"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 xml:space="preserve">Infrastructure, Community assets and assets under construction </w:t>
            </w:r>
          </w:p>
        </w:tc>
        <w:tc>
          <w:tcPr>
            <w:tcW w:w="4961" w:type="dxa"/>
          </w:tcPr>
          <w:p w14:paraId="6CCDC07D"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Depreciated historical cost</w:t>
            </w:r>
          </w:p>
        </w:tc>
      </w:tr>
      <w:tr w:rsidR="0061572D" w:rsidRPr="00507C12" w14:paraId="54ECF1E1" w14:textId="77777777" w:rsidTr="00AC14A4">
        <w:tc>
          <w:tcPr>
            <w:tcW w:w="4253" w:type="dxa"/>
          </w:tcPr>
          <w:p w14:paraId="3F688B67"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Vehicles, plant and equipment</w:t>
            </w:r>
          </w:p>
        </w:tc>
        <w:tc>
          <w:tcPr>
            <w:tcW w:w="4961" w:type="dxa"/>
          </w:tcPr>
          <w:p w14:paraId="28B8CF14"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The lower of net current replacement cost or net realisable value in existing use</w:t>
            </w:r>
          </w:p>
        </w:tc>
      </w:tr>
      <w:tr w:rsidR="0061572D" w:rsidRPr="00507C12" w14:paraId="6C2EE928" w14:textId="77777777" w:rsidTr="00AC14A4">
        <w:tc>
          <w:tcPr>
            <w:tcW w:w="4253" w:type="dxa"/>
          </w:tcPr>
          <w:p w14:paraId="210826BF"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Surplus Assets</w:t>
            </w:r>
          </w:p>
        </w:tc>
        <w:tc>
          <w:tcPr>
            <w:tcW w:w="4961" w:type="dxa"/>
          </w:tcPr>
          <w:p w14:paraId="50C33757"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Fair value estimated at highest and best use from a market participants perspective</w:t>
            </w:r>
          </w:p>
        </w:tc>
      </w:tr>
      <w:tr w:rsidR="0061572D" w:rsidRPr="00507C12" w14:paraId="187A50B2" w14:textId="77777777" w:rsidTr="00AC14A4">
        <w:tc>
          <w:tcPr>
            <w:tcW w:w="4253" w:type="dxa"/>
          </w:tcPr>
          <w:p w14:paraId="5EB39A97"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Assets acquired for other than a cash consideration</w:t>
            </w:r>
          </w:p>
        </w:tc>
        <w:tc>
          <w:tcPr>
            <w:tcW w:w="4961" w:type="dxa"/>
          </w:tcPr>
          <w:p w14:paraId="2B3E84D3"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Appropriate fair value</w:t>
            </w:r>
          </w:p>
        </w:tc>
      </w:tr>
    </w:tbl>
    <w:p w14:paraId="27767F6D" w14:textId="77777777" w:rsidR="0061572D" w:rsidRPr="00507C12" w:rsidRDefault="0061572D" w:rsidP="0061572D">
      <w:pPr>
        <w:spacing w:after="0"/>
        <w:rPr>
          <w:rFonts w:ascii="Arial" w:eastAsia="Times New Roman" w:hAnsi="Arial" w:cs="Arial"/>
          <w:szCs w:val="20"/>
          <w:lang w:eastAsia="en-GB"/>
        </w:rPr>
      </w:pPr>
    </w:p>
    <w:p w14:paraId="08034C5F" w14:textId="77777777" w:rsidR="0061572D" w:rsidRPr="00507C12" w:rsidRDefault="0061572D" w:rsidP="0061572D">
      <w:pPr>
        <w:pStyle w:val="Pa10"/>
        <w:spacing w:line="160" w:lineRule="atLeast"/>
        <w:rPr>
          <w:rFonts w:ascii="Arial" w:hAnsi="Arial" w:cs="Arial"/>
          <w:color w:val="000000"/>
          <w:sz w:val="22"/>
          <w:szCs w:val="20"/>
        </w:rPr>
      </w:pPr>
      <w:r w:rsidRPr="00507C12">
        <w:rPr>
          <w:rFonts w:ascii="Arial" w:hAnsi="Arial" w:cs="Arial"/>
          <w:color w:val="000000"/>
          <w:sz w:val="22"/>
          <w:szCs w:val="20"/>
        </w:rPr>
        <w:t xml:space="preserve">Where there is no market-based evidence of current value because of the specialist nature of an asset, depreciated replacement cost (DRC) is used as an estimate of current value.  </w:t>
      </w:r>
    </w:p>
    <w:p w14:paraId="01958ED7" w14:textId="77777777" w:rsidR="0061572D" w:rsidRPr="00507C12" w:rsidRDefault="0061572D" w:rsidP="0061572D">
      <w:pPr>
        <w:pStyle w:val="Pa10"/>
        <w:spacing w:line="160" w:lineRule="atLeast"/>
        <w:rPr>
          <w:rFonts w:ascii="Arial" w:hAnsi="Arial" w:cs="Arial"/>
          <w:color w:val="000000"/>
          <w:sz w:val="22"/>
          <w:szCs w:val="20"/>
        </w:rPr>
      </w:pPr>
    </w:p>
    <w:p w14:paraId="619575AA" w14:textId="77777777" w:rsidR="0061572D" w:rsidRPr="00507C12" w:rsidRDefault="0061572D" w:rsidP="0061572D">
      <w:pPr>
        <w:pStyle w:val="Pa10"/>
        <w:spacing w:line="160" w:lineRule="atLeast"/>
        <w:rPr>
          <w:rFonts w:ascii="Arial" w:eastAsia="Times New Roman" w:hAnsi="Arial" w:cs="Arial"/>
          <w:sz w:val="22"/>
          <w:szCs w:val="20"/>
          <w:lang w:eastAsia="en-GB"/>
        </w:rPr>
      </w:pPr>
      <w:r w:rsidRPr="00507C12">
        <w:rPr>
          <w:rFonts w:ascii="Arial" w:hAnsi="Arial" w:cs="Arial"/>
          <w:color w:val="000000"/>
          <w:sz w:val="22"/>
          <w:szCs w:val="20"/>
        </w:rPr>
        <w:t>Where non-property assets that have short useful lives or low values (or both), depreciated historical cost basis is used as a proxy for current value.</w:t>
      </w:r>
    </w:p>
    <w:p w14:paraId="3DCFF75D" w14:textId="77777777" w:rsidR="0061572D" w:rsidRPr="00507C12" w:rsidRDefault="0061572D" w:rsidP="0061572D">
      <w:pPr>
        <w:spacing w:after="0"/>
        <w:rPr>
          <w:rFonts w:ascii="Arial" w:eastAsia="Times New Roman" w:hAnsi="Arial" w:cs="Arial"/>
          <w:szCs w:val="20"/>
          <w:lang w:eastAsia="en-GB"/>
        </w:rPr>
      </w:pPr>
    </w:p>
    <w:p w14:paraId="6E5192B5"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Assets included in the Balance Sheet at current value are revalued sufficiently regularly to ensure that their carrying amount is not materially different from their current value at the year end, but as a minimum every five years.  Increases in valuations are matched by credits to the Revaluation Reserve to recognise unrealised gains.  Exceptionally, gains might be credited to the Surplus or Deficit on the Provision of Services where they arise from the reversal of an impairment loss previously charged to a service revenue account.</w:t>
      </w:r>
    </w:p>
    <w:p w14:paraId="4A76277C" w14:textId="77777777" w:rsidR="0061572D" w:rsidRPr="00507C12" w:rsidRDefault="0061572D" w:rsidP="0061572D">
      <w:pPr>
        <w:spacing w:after="0"/>
        <w:rPr>
          <w:rFonts w:ascii="Arial" w:eastAsia="Times New Roman" w:hAnsi="Arial" w:cs="Arial"/>
          <w:szCs w:val="20"/>
          <w:lang w:eastAsia="en-GB"/>
        </w:rPr>
      </w:pPr>
    </w:p>
    <w:p w14:paraId="31D59218" w14:textId="0A29DC19" w:rsidR="0061572D"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decreases in value are identified, they are accounted for by:</w:t>
      </w:r>
    </w:p>
    <w:p w14:paraId="02ED56C5" w14:textId="77777777" w:rsidR="00AF076B" w:rsidRPr="00507C12" w:rsidRDefault="00AF076B" w:rsidP="0061572D">
      <w:pPr>
        <w:spacing w:after="0"/>
        <w:rPr>
          <w:rFonts w:ascii="Arial" w:eastAsia="Times New Roman" w:hAnsi="Arial" w:cs="Arial"/>
          <w:szCs w:val="20"/>
          <w:lang w:eastAsia="en-GB"/>
        </w:rPr>
      </w:pPr>
    </w:p>
    <w:p w14:paraId="69527896" w14:textId="387BB290" w:rsidR="0061572D" w:rsidRDefault="0061572D" w:rsidP="0061572D">
      <w:pPr>
        <w:numPr>
          <w:ilvl w:val="0"/>
          <w:numId w:val="2"/>
        </w:numPr>
        <w:tabs>
          <w:tab w:val="num" w:pos="284"/>
        </w:tabs>
        <w:spacing w:after="0"/>
        <w:ind w:left="284" w:hanging="284"/>
        <w:rPr>
          <w:rFonts w:ascii="Arial" w:eastAsia="Times New Roman" w:hAnsi="Arial" w:cs="Arial"/>
          <w:szCs w:val="20"/>
          <w:lang w:eastAsia="en-GB"/>
        </w:rPr>
      </w:pPr>
      <w:r w:rsidRPr="00507C12">
        <w:rPr>
          <w:rFonts w:ascii="Arial" w:eastAsia="Times New Roman" w:hAnsi="Arial" w:cs="Arial"/>
          <w:szCs w:val="20"/>
          <w:lang w:eastAsia="en-GB"/>
        </w:rPr>
        <w:t>where there is a balance of revaluation gains for the asset in the Revaluation Reserve, the carrying amount of the asset is written down against the balance (up to the amount of the accumulated gains)</w:t>
      </w:r>
    </w:p>
    <w:p w14:paraId="7C7E08F0" w14:textId="77777777" w:rsidR="00AF076B" w:rsidRPr="00507C12" w:rsidRDefault="00AF076B" w:rsidP="00AF076B">
      <w:pPr>
        <w:spacing w:after="0"/>
        <w:ind w:left="284"/>
        <w:rPr>
          <w:rFonts w:ascii="Arial" w:eastAsia="Times New Roman" w:hAnsi="Arial" w:cs="Arial"/>
          <w:szCs w:val="20"/>
          <w:lang w:eastAsia="en-GB"/>
        </w:rPr>
      </w:pPr>
    </w:p>
    <w:p w14:paraId="1BE8F27A" w14:textId="77777777" w:rsidR="0061572D" w:rsidRPr="00507C12" w:rsidRDefault="0061572D" w:rsidP="0061572D">
      <w:pPr>
        <w:numPr>
          <w:ilvl w:val="0"/>
          <w:numId w:val="2"/>
        </w:numPr>
        <w:tabs>
          <w:tab w:val="num" w:pos="284"/>
        </w:tabs>
        <w:spacing w:after="0"/>
        <w:ind w:left="284" w:hanging="284"/>
        <w:rPr>
          <w:rFonts w:ascii="Arial" w:eastAsia="Times New Roman" w:hAnsi="Arial" w:cs="Arial"/>
          <w:szCs w:val="20"/>
          <w:lang w:eastAsia="en-GB"/>
        </w:rPr>
      </w:pPr>
      <w:r w:rsidRPr="00507C12">
        <w:rPr>
          <w:rFonts w:ascii="Arial" w:eastAsia="Times New Roman" w:hAnsi="Arial" w:cs="Arial"/>
          <w:szCs w:val="20"/>
          <w:lang w:eastAsia="en-GB"/>
        </w:rPr>
        <w:t>where there is no balance in the Revaluation Reserve or an insufficient balance, the carrying amount of the asset is written down against the relevant service line in the Comprehensive Income and Expenditure Statement</w:t>
      </w:r>
    </w:p>
    <w:p w14:paraId="52AAFFF2" w14:textId="77777777" w:rsidR="0061572D" w:rsidRPr="00507C12" w:rsidRDefault="0061572D" w:rsidP="0061572D">
      <w:pPr>
        <w:spacing w:after="0"/>
        <w:rPr>
          <w:rFonts w:ascii="Arial" w:eastAsia="Times New Roman" w:hAnsi="Arial" w:cs="Arial"/>
          <w:szCs w:val="20"/>
          <w:lang w:eastAsia="en-GB"/>
        </w:rPr>
      </w:pPr>
    </w:p>
    <w:p w14:paraId="0529C7A7"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Revaluation Reserve contains revaluation gains recognised since 1 April 2007 only, the date of its formal implementation.  Gains arising before that date have been consolidated into the Capital Adjustment Account.</w:t>
      </w:r>
    </w:p>
    <w:p w14:paraId="2EDCF1E3" w14:textId="77777777" w:rsidR="0061572D" w:rsidRPr="00507C12" w:rsidRDefault="0061572D" w:rsidP="0061572D">
      <w:pPr>
        <w:spacing w:after="0"/>
        <w:rPr>
          <w:rFonts w:ascii="Arial" w:eastAsia="Times New Roman" w:hAnsi="Arial" w:cs="Arial"/>
          <w:szCs w:val="20"/>
          <w:lang w:eastAsia="en-GB"/>
        </w:rPr>
      </w:pPr>
    </w:p>
    <w:p w14:paraId="6D386F59"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Impairment</w:t>
      </w:r>
    </w:p>
    <w:p w14:paraId="29149A07" w14:textId="77777777" w:rsidR="0061572D" w:rsidRPr="00507C12" w:rsidRDefault="0061572D" w:rsidP="0061572D">
      <w:pPr>
        <w:spacing w:after="0"/>
        <w:rPr>
          <w:rFonts w:ascii="Arial" w:eastAsia="Times New Roman" w:hAnsi="Arial" w:cs="Arial"/>
          <w:szCs w:val="20"/>
          <w:lang w:eastAsia="en-GB"/>
        </w:rPr>
      </w:pPr>
      <w:r w:rsidRPr="00507C12">
        <w:rPr>
          <w:rFonts w:ascii="Arial" w:hAnsi="Arial" w:cs="Arial"/>
          <w:color w:val="000000"/>
          <w:szCs w:val="20"/>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1665B937" w14:textId="77777777" w:rsidR="0061572D" w:rsidRPr="00507C12" w:rsidRDefault="0061572D" w:rsidP="0061572D">
      <w:pPr>
        <w:spacing w:after="0"/>
        <w:rPr>
          <w:rFonts w:ascii="Arial" w:eastAsia="Times New Roman" w:hAnsi="Arial" w:cs="Arial"/>
          <w:szCs w:val="20"/>
          <w:lang w:eastAsia="en-GB"/>
        </w:rPr>
      </w:pPr>
    </w:p>
    <w:p w14:paraId="577F2F12"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impairment losses are identified they are accounted for by:</w:t>
      </w:r>
    </w:p>
    <w:p w14:paraId="453DB94E" w14:textId="77777777" w:rsidR="0061572D" w:rsidRPr="00507C12" w:rsidRDefault="0061572D" w:rsidP="0061572D">
      <w:pPr>
        <w:numPr>
          <w:ilvl w:val="0"/>
          <w:numId w:val="4"/>
        </w:numPr>
        <w:tabs>
          <w:tab w:val="num" w:pos="284"/>
        </w:tabs>
        <w:spacing w:after="0"/>
        <w:ind w:left="284" w:hanging="284"/>
        <w:rPr>
          <w:rFonts w:ascii="Arial" w:eastAsia="Times New Roman" w:hAnsi="Arial" w:cs="Arial"/>
          <w:szCs w:val="20"/>
          <w:lang w:eastAsia="en-GB"/>
        </w:rPr>
      </w:pPr>
      <w:r w:rsidRPr="00507C12">
        <w:rPr>
          <w:rFonts w:ascii="Arial" w:eastAsia="Times New Roman" w:hAnsi="Arial" w:cs="Arial"/>
          <w:szCs w:val="20"/>
          <w:lang w:eastAsia="en-GB"/>
        </w:rPr>
        <w:t>where there is a balance of revaluation gains for the asset in the Revaluation Reserve, the carrying amount of the asset is written down against this balance (up to the amount of the accumulated gains)</w:t>
      </w:r>
    </w:p>
    <w:p w14:paraId="6BFAB129" w14:textId="77777777" w:rsidR="0061572D" w:rsidRPr="00507C12" w:rsidRDefault="0061572D" w:rsidP="0061572D">
      <w:pPr>
        <w:spacing w:after="0"/>
        <w:rPr>
          <w:rFonts w:ascii="Arial" w:eastAsia="Times New Roman" w:hAnsi="Arial" w:cs="Arial"/>
          <w:szCs w:val="20"/>
          <w:lang w:eastAsia="en-GB"/>
        </w:rPr>
      </w:pPr>
    </w:p>
    <w:p w14:paraId="0B6B6B35" w14:textId="77777777" w:rsidR="0061572D" w:rsidRPr="00507C12" w:rsidRDefault="0061572D" w:rsidP="0061572D">
      <w:pPr>
        <w:numPr>
          <w:ilvl w:val="0"/>
          <w:numId w:val="4"/>
        </w:numPr>
        <w:tabs>
          <w:tab w:val="num" w:pos="284"/>
        </w:tabs>
        <w:spacing w:after="0"/>
        <w:ind w:left="284" w:hanging="284"/>
        <w:rPr>
          <w:rFonts w:ascii="Arial" w:eastAsia="Times New Roman" w:hAnsi="Arial" w:cs="Arial"/>
          <w:szCs w:val="20"/>
          <w:lang w:eastAsia="en-GB"/>
        </w:rPr>
      </w:pPr>
      <w:r w:rsidRPr="00507C12">
        <w:rPr>
          <w:rFonts w:ascii="Arial" w:eastAsia="Times New Roman" w:hAnsi="Arial" w:cs="Arial"/>
          <w:szCs w:val="20"/>
          <w:lang w:eastAsia="en-GB"/>
        </w:rPr>
        <w:t>where there is no balance in the Revaluation Reserve or an insufficient balance, the carrying amount of the asset is written down against the relevant service line(s) in the Comprehensive Income and Expenditure Statement</w:t>
      </w:r>
    </w:p>
    <w:p w14:paraId="32FC86BA" w14:textId="77777777" w:rsidR="0061572D" w:rsidRPr="00507C12" w:rsidRDefault="0061572D" w:rsidP="0061572D">
      <w:pPr>
        <w:spacing w:after="0"/>
        <w:rPr>
          <w:rFonts w:ascii="Arial" w:eastAsia="Times New Roman" w:hAnsi="Arial" w:cs="Arial"/>
          <w:szCs w:val="20"/>
          <w:lang w:eastAsia="en-GB"/>
        </w:rPr>
      </w:pPr>
    </w:p>
    <w:p w14:paraId="1CC9696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w:t>
      </w:r>
    </w:p>
    <w:p w14:paraId="75DE9552" w14:textId="77777777" w:rsidR="0061572D" w:rsidRPr="00507C12" w:rsidRDefault="0061572D" w:rsidP="0061572D">
      <w:pPr>
        <w:spacing w:after="0"/>
        <w:rPr>
          <w:rFonts w:ascii="Arial" w:eastAsia="Times New Roman" w:hAnsi="Arial" w:cs="Arial"/>
          <w:szCs w:val="20"/>
          <w:lang w:eastAsia="en-GB"/>
        </w:rPr>
      </w:pPr>
    </w:p>
    <w:p w14:paraId="77136E5C" w14:textId="77777777" w:rsidR="0061572D" w:rsidRPr="00507C12" w:rsidRDefault="0061572D" w:rsidP="0061572D">
      <w:pPr>
        <w:spacing w:after="0"/>
        <w:outlineLvl w:val="0"/>
        <w:rPr>
          <w:rFonts w:ascii="Arial" w:eastAsia="Times New Roman" w:hAnsi="Arial" w:cs="Arial"/>
          <w:b/>
          <w:szCs w:val="20"/>
          <w:lang w:eastAsia="en-GB"/>
        </w:rPr>
      </w:pPr>
      <w:r w:rsidRPr="00507C12">
        <w:rPr>
          <w:rFonts w:ascii="Arial" w:eastAsia="Times New Roman" w:hAnsi="Arial" w:cs="Arial"/>
          <w:b/>
          <w:szCs w:val="20"/>
          <w:lang w:eastAsia="en-GB"/>
        </w:rPr>
        <w:t>Depreciation</w:t>
      </w:r>
    </w:p>
    <w:p w14:paraId="3F7DBE20" w14:textId="4A05C3E9"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Depreciation is applied to all property, plant and equipment assets by the systematic allocation of their depreciable amounts over their useful lives. An exception is made for assets without a determinable finite useful life (</w:t>
      </w:r>
      <w:r w:rsidR="007C22CD">
        <w:rPr>
          <w:rFonts w:ascii="Arial" w:eastAsia="Times New Roman" w:hAnsi="Arial" w:cs="Arial"/>
          <w:szCs w:val="20"/>
          <w:lang w:eastAsia="en-GB"/>
        </w:rPr>
        <w:t>that is,</w:t>
      </w:r>
      <w:r w:rsidRPr="00507C12">
        <w:rPr>
          <w:rFonts w:ascii="Arial" w:eastAsia="Times New Roman" w:hAnsi="Arial" w:cs="Arial"/>
          <w:szCs w:val="20"/>
          <w:lang w:eastAsia="en-GB"/>
        </w:rPr>
        <w:t xml:space="preserve"> freehold land and certain community assets) and assets that are not yet available for use (</w:t>
      </w:r>
      <w:r w:rsidR="007C22CD">
        <w:rPr>
          <w:rFonts w:ascii="Arial" w:eastAsia="Times New Roman" w:hAnsi="Arial" w:cs="Arial"/>
          <w:szCs w:val="20"/>
          <w:lang w:eastAsia="en-GB"/>
        </w:rPr>
        <w:t>that is,</w:t>
      </w:r>
      <w:r w:rsidRPr="00507C12">
        <w:rPr>
          <w:rFonts w:ascii="Arial" w:eastAsia="Times New Roman" w:hAnsi="Arial" w:cs="Arial"/>
          <w:szCs w:val="20"/>
          <w:lang w:eastAsia="en-GB"/>
        </w:rPr>
        <w:t xml:space="preserve"> assets under construction)</w:t>
      </w:r>
    </w:p>
    <w:p w14:paraId="55F3B175" w14:textId="77777777" w:rsidR="0061572D" w:rsidRPr="00507C12" w:rsidRDefault="0061572D" w:rsidP="0061572D">
      <w:pPr>
        <w:spacing w:after="0"/>
        <w:rPr>
          <w:rFonts w:ascii="Arial" w:eastAsia="Times New Roman" w:hAnsi="Arial" w:cs="Arial"/>
          <w:szCs w:val="20"/>
          <w:lang w:eastAsia="en-GB"/>
        </w:rPr>
      </w:pPr>
    </w:p>
    <w:p w14:paraId="00EBBB8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Depreciation is calculated on a ‘straight line’ basis over their useful life as determined by the Council’s valuers, as set out below, unless further information has been received:</w:t>
      </w:r>
    </w:p>
    <w:p w14:paraId="6E871F8F" w14:textId="77777777" w:rsidR="0061572D" w:rsidRPr="00507C12" w:rsidRDefault="0061572D" w:rsidP="0061572D">
      <w:pPr>
        <w:spacing w:after="0"/>
        <w:rPr>
          <w:rFonts w:ascii="Arial" w:eastAsia="Times New Roman" w:hAnsi="Arial" w:cs="Arial"/>
          <w:szCs w:val="20"/>
          <w:lang w:eastAsia="en-GB"/>
        </w:rPr>
      </w:pPr>
    </w:p>
    <w:tbl>
      <w:tblPr>
        <w:tblStyle w:val="TableGrid2"/>
        <w:tblW w:w="0" w:type="auto"/>
        <w:jc w:val="center"/>
        <w:tblLook w:val="01E0" w:firstRow="1" w:lastRow="1" w:firstColumn="1" w:lastColumn="1" w:noHBand="0" w:noVBand="0"/>
      </w:tblPr>
      <w:tblGrid>
        <w:gridCol w:w="3060"/>
        <w:gridCol w:w="1980"/>
      </w:tblGrid>
      <w:tr w:rsidR="0061572D" w:rsidRPr="00507C12" w14:paraId="456EAAC6" w14:textId="77777777" w:rsidTr="00AC14A4">
        <w:trPr>
          <w:jc w:val="center"/>
        </w:trPr>
        <w:tc>
          <w:tcPr>
            <w:tcW w:w="3060" w:type="dxa"/>
          </w:tcPr>
          <w:p w14:paraId="50D29D25" w14:textId="77777777" w:rsidR="0061572D" w:rsidRPr="00507C12" w:rsidRDefault="0061572D" w:rsidP="00AC14A4">
            <w:pPr>
              <w:spacing w:after="40"/>
              <w:rPr>
                <w:rFonts w:ascii="Arial" w:eastAsia="Calibri" w:hAnsi="Arial" w:cs="Arial"/>
                <w:b/>
                <w:szCs w:val="20"/>
                <w:lang w:eastAsia="en-GB"/>
              </w:rPr>
            </w:pPr>
          </w:p>
        </w:tc>
        <w:tc>
          <w:tcPr>
            <w:tcW w:w="1980" w:type="dxa"/>
          </w:tcPr>
          <w:p w14:paraId="3AE384E9" w14:textId="77777777" w:rsidR="0061572D" w:rsidRPr="00507C12" w:rsidRDefault="0061572D" w:rsidP="00AC14A4">
            <w:pPr>
              <w:spacing w:after="40"/>
              <w:rPr>
                <w:rFonts w:ascii="Arial" w:eastAsia="Calibri" w:hAnsi="Arial" w:cs="Arial"/>
                <w:b/>
                <w:szCs w:val="20"/>
                <w:lang w:eastAsia="en-GB"/>
              </w:rPr>
            </w:pPr>
            <w:r w:rsidRPr="00507C12">
              <w:rPr>
                <w:rFonts w:ascii="Arial" w:eastAsia="Calibri" w:hAnsi="Arial" w:cs="Arial"/>
                <w:b/>
                <w:szCs w:val="20"/>
                <w:lang w:eastAsia="en-GB"/>
              </w:rPr>
              <w:t>Asset life</w:t>
            </w:r>
          </w:p>
        </w:tc>
      </w:tr>
      <w:tr w:rsidR="0061572D" w:rsidRPr="00507C12" w14:paraId="341E60EB" w14:textId="77777777" w:rsidTr="00AC14A4">
        <w:trPr>
          <w:jc w:val="center"/>
        </w:trPr>
        <w:tc>
          <w:tcPr>
            <w:tcW w:w="3060" w:type="dxa"/>
          </w:tcPr>
          <w:p w14:paraId="419A3663"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HRA dwellings</w:t>
            </w:r>
          </w:p>
        </w:tc>
        <w:tc>
          <w:tcPr>
            <w:tcW w:w="1980" w:type="dxa"/>
          </w:tcPr>
          <w:p w14:paraId="5425403E"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30 years</w:t>
            </w:r>
          </w:p>
        </w:tc>
      </w:tr>
      <w:tr w:rsidR="0061572D" w:rsidRPr="00507C12" w14:paraId="161E7018" w14:textId="77777777" w:rsidTr="00AC14A4">
        <w:trPr>
          <w:jc w:val="center"/>
        </w:trPr>
        <w:tc>
          <w:tcPr>
            <w:tcW w:w="3060" w:type="dxa"/>
          </w:tcPr>
          <w:p w14:paraId="0C78DB69"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Non HRA dwelling</w:t>
            </w:r>
          </w:p>
        </w:tc>
        <w:tc>
          <w:tcPr>
            <w:tcW w:w="1980" w:type="dxa"/>
          </w:tcPr>
          <w:p w14:paraId="1385FBED"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21 years</w:t>
            </w:r>
          </w:p>
        </w:tc>
      </w:tr>
      <w:tr w:rsidR="0061572D" w:rsidRPr="00507C12" w14:paraId="16ECDE3A" w14:textId="77777777" w:rsidTr="00AC14A4">
        <w:trPr>
          <w:jc w:val="center"/>
        </w:trPr>
        <w:tc>
          <w:tcPr>
            <w:tcW w:w="3060" w:type="dxa"/>
          </w:tcPr>
          <w:p w14:paraId="28BEF6A7"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Workshops</w:t>
            </w:r>
          </w:p>
        </w:tc>
        <w:tc>
          <w:tcPr>
            <w:tcW w:w="1980" w:type="dxa"/>
          </w:tcPr>
          <w:p w14:paraId="41092568"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20-50 years</w:t>
            </w:r>
          </w:p>
        </w:tc>
      </w:tr>
      <w:tr w:rsidR="0061572D" w:rsidRPr="00507C12" w14:paraId="05CCD039" w14:textId="77777777" w:rsidTr="00AC14A4">
        <w:trPr>
          <w:jc w:val="center"/>
        </w:trPr>
        <w:tc>
          <w:tcPr>
            <w:tcW w:w="3060" w:type="dxa"/>
          </w:tcPr>
          <w:p w14:paraId="18160993"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Community centres</w:t>
            </w:r>
          </w:p>
        </w:tc>
        <w:tc>
          <w:tcPr>
            <w:tcW w:w="1980" w:type="dxa"/>
          </w:tcPr>
          <w:p w14:paraId="207A1037"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50-99 years</w:t>
            </w:r>
          </w:p>
        </w:tc>
      </w:tr>
      <w:tr w:rsidR="0061572D" w:rsidRPr="00507C12" w14:paraId="637922D4" w14:textId="77777777" w:rsidTr="00AC14A4">
        <w:trPr>
          <w:jc w:val="center"/>
        </w:trPr>
        <w:tc>
          <w:tcPr>
            <w:tcW w:w="3060" w:type="dxa"/>
          </w:tcPr>
          <w:p w14:paraId="1D5CBDB3"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Vehicles and plant</w:t>
            </w:r>
          </w:p>
        </w:tc>
        <w:tc>
          <w:tcPr>
            <w:tcW w:w="1980" w:type="dxa"/>
          </w:tcPr>
          <w:p w14:paraId="09E64F34"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2-10 years</w:t>
            </w:r>
          </w:p>
        </w:tc>
      </w:tr>
      <w:tr w:rsidR="0061572D" w:rsidRPr="00507C12" w14:paraId="0EC1DB1A" w14:textId="77777777" w:rsidTr="00AC14A4">
        <w:trPr>
          <w:jc w:val="center"/>
        </w:trPr>
        <w:tc>
          <w:tcPr>
            <w:tcW w:w="3060" w:type="dxa"/>
          </w:tcPr>
          <w:p w14:paraId="393A0DE9"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Other</w:t>
            </w:r>
          </w:p>
        </w:tc>
        <w:tc>
          <w:tcPr>
            <w:tcW w:w="1980" w:type="dxa"/>
          </w:tcPr>
          <w:p w14:paraId="033476E5" w14:textId="77777777" w:rsidR="0061572D" w:rsidRPr="00507C12" w:rsidRDefault="0061572D" w:rsidP="00AC14A4">
            <w:pPr>
              <w:rPr>
                <w:rFonts w:ascii="Arial" w:eastAsia="Calibri" w:hAnsi="Arial" w:cs="Arial"/>
                <w:szCs w:val="20"/>
                <w:lang w:eastAsia="en-GB"/>
              </w:rPr>
            </w:pPr>
            <w:r w:rsidRPr="00507C12">
              <w:rPr>
                <w:rFonts w:ascii="Arial" w:eastAsia="Calibri" w:hAnsi="Arial" w:cs="Arial"/>
                <w:szCs w:val="20"/>
                <w:lang w:eastAsia="en-GB"/>
              </w:rPr>
              <w:t>99 years</w:t>
            </w:r>
          </w:p>
        </w:tc>
      </w:tr>
    </w:tbl>
    <w:p w14:paraId="3DFF38DC" w14:textId="77777777" w:rsidR="0061572D" w:rsidRPr="00507C12" w:rsidRDefault="0061572D" w:rsidP="0061572D">
      <w:pPr>
        <w:spacing w:after="0"/>
        <w:rPr>
          <w:rFonts w:ascii="Arial" w:eastAsia="Times New Roman" w:hAnsi="Arial" w:cs="Arial"/>
          <w:szCs w:val="20"/>
          <w:lang w:eastAsia="en-GB"/>
        </w:rPr>
      </w:pPr>
    </w:p>
    <w:p w14:paraId="03351430" w14:textId="77777777" w:rsidR="0061572D" w:rsidRDefault="0061572D" w:rsidP="0061572D">
      <w:pPr>
        <w:spacing w:after="0"/>
        <w:rPr>
          <w:rFonts w:ascii="Arial" w:eastAsia="Times New Roman" w:hAnsi="Arial" w:cs="Arial"/>
          <w:szCs w:val="20"/>
          <w:lang w:eastAsia="en-GB"/>
        </w:rPr>
      </w:pPr>
    </w:p>
    <w:p w14:paraId="265414C2" w14:textId="77777777" w:rsidR="0061572D" w:rsidRDefault="0061572D" w:rsidP="0061572D">
      <w:pPr>
        <w:spacing w:after="0"/>
        <w:rPr>
          <w:rFonts w:ascii="Arial" w:eastAsia="Times New Roman" w:hAnsi="Arial" w:cs="Arial"/>
          <w:szCs w:val="20"/>
          <w:lang w:eastAsia="en-GB"/>
        </w:rPr>
      </w:pPr>
    </w:p>
    <w:p w14:paraId="02AD2D7A" w14:textId="77777777" w:rsidR="0061572D"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Land is not depreciated as this is deemed as having an infinite life.  Where assets, such as buildings, have land attached the values are separated and depreciated accordingly.  Where an item of property, plant and equipment has major components whose cost is significant in relation to the total cost of the item, the components are depreciated separately.</w:t>
      </w:r>
    </w:p>
    <w:p w14:paraId="48B64104" w14:textId="77777777" w:rsidR="0061572D" w:rsidRPr="00507C12" w:rsidRDefault="0061572D" w:rsidP="0061572D">
      <w:pPr>
        <w:spacing w:after="0"/>
        <w:rPr>
          <w:rFonts w:ascii="Arial" w:eastAsia="Times New Roman" w:hAnsi="Arial" w:cs="Arial"/>
          <w:szCs w:val="20"/>
          <w:lang w:eastAsia="en-GB"/>
        </w:rPr>
      </w:pPr>
    </w:p>
    <w:p w14:paraId="12E909EE"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Revaluation gains are also depreciated, with an amount equal to the difference between current value depreciation charged on assets and the depreciation that would have been chargeable based on their historical cost being transferred each year from the Revaluation Reserve into the Capital Adjustment Account.</w:t>
      </w:r>
    </w:p>
    <w:p w14:paraId="112EA0EB" w14:textId="77777777" w:rsidR="0061572D" w:rsidRPr="00507C12" w:rsidRDefault="0061572D" w:rsidP="0061572D">
      <w:pPr>
        <w:spacing w:after="0"/>
        <w:rPr>
          <w:rFonts w:ascii="Arial" w:eastAsia="Times New Roman" w:hAnsi="Arial" w:cs="Arial"/>
          <w:b/>
          <w:szCs w:val="20"/>
          <w:lang w:eastAsia="en-GB"/>
        </w:rPr>
      </w:pPr>
    </w:p>
    <w:p w14:paraId="44E0065A"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Non-Current Assets Held for Sale</w:t>
      </w:r>
    </w:p>
    <w:p w14:paraId="6160804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 losses recognised in the Surplus or Deficit on Provision of Services.  Depreciation is not charged on Assets Held for Sale.</w:t>
      </w:r>
    </w:p>
    <w:p w14:paraId="4E2574D0" w14:textId="77777777" w:rsidR="0061572D" w:rsidRPr="00507C12" w:rsidRDefault="0061572D" w:rsidP="0061572D">
      <w:pPr>
        <w:spacing w:after="0"/>
        <w:rPr>
          <w:rFonts w:ascii="Arial" w:eastAsia="Times New Roman" w:hAnsi="Arial" w:cs="Arial"/>
          <w:szCs w:val="20"/>
          <w:lang w:eastAsia="en-GB"/>
        </w:rPr>
      </w:pPr>
    </w:p>
    <w:p w14:paraId="0DFF2DAD"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w:t>
      </w:r>
    </w:p>
    <w:p w14:paraId="1187FEB9" w14:textId="77777777" w:rsidR="0061572D" w:rsidRPr="00507C12" w:rsidRDefault="0061572D" w:rsidP="0061572D">
      <w:pPr>
        <w:spacing w:after="0"/>
        <w:rPr>
          <w:rFonts w:ascii="Arial" w:eastAsia="Times New Roman" w:hAnsi="Arial" w:cs="Arial"/>
          <w:b/>
          <w:szCs w:val="20"/>
          <w:lang w:eastAsia="en-GB"/>
        </w:rPr>
      </w:pPr>
    </w:p>
    <w:p w14:paraId="2943AD84"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Disposals</w:t>
      </w:r>
    </w:p>
    <w:p w14:paraId="24645E2C"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Assets that are abandoned or scrapped are not classified as assets held for sale.</w:t>
      </w:r>
    </w:p>
    <w:p w14:paraId="397D80D2" w14:textId="77777777" w:rsidR="0061572D" w:rsidRPr="00507C12" w:rsidRDefault="0061572D" w:rsidP="0061572D">
      <w:pPr>
        <w:spacing w:after="0"/>
        <w:rPr>
          <w:rFonts w:ascii="Arial" w:eastAsia="Times New Roman" w:hAnsi="Arial" w:cs="Arial"/>
          <w:b/>
          <w:szCs w:val="20"/>
          <w:lang w:eastAsia="en-GB"/>
        </w:rPr>
      </w:pPr>
    </w:p>
    <w:p w14:paraId="1EC3D308" w14:textId="4FF4F164" w:rsidR="0061572D"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When an asset is disposed of, or decommissioned, the carrying amount of the asset in the Balance Sheet (whether property, plant and equipment, or assets held for sale) is written off to the Other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w:t>
      </w:r>
      <w:r w:rsidRPr="00507C12">
        <w:rPr>
          <w:rFonts w:ascii="Arial" w:hAnsi="Arial" w:cs="Arial"/>
          <w:color w:val="000000"/>
          <w:szCs w:val="20"/>
        </w:rPr>
        <w:t>(</w:t>
      </w:r>
      <w:r w:rsidR="009E709E">
        <w:rPr>
          <w:rFonts w:ascii="Arial" w:hAnsi="Arial" w:cs="Arial"/>
          <w:color w:val="000000"/>
          <w:szCs w:val="20"/>
        </w:rPr>
        <w:t>that is,</w:t>
      </w:r>
      <w:r w:rsidRPr="00507C12">
        <w:rPr>
          <w:rFonts w:ascii="Arial" w:hAnsi="Arial" w:cs="Arial"/>
          <w:color w:val="000000"/>
          <w:szCs w:val="20"/>
        </w:rPr>
        <w:t xml:space="preserve"> netted off against the carrying value of the asset at the time of disposal) </w:t>
      </w:r>
      <w:r w:rsidRPr="00507C12">
        <w:rPr>
          <w:rFonts w:ascii="Arial" w:eastAsia="Times New Roman" w:hAnsi="Arial" w:cs="Arial"/>
          <w:szCs w:val="20"/>
          <w:lang w:eastAsia="en-GB"/>
        </w:rPr>
        <w:t>Any revaluation gains in the Revaluation Reserve are transferred to the Capital Adjustment Account.</w:t>
      </w:r>
    </w:p>
    <w:p w14:paraId="02DD71B5" w14:textId="77777777" w:rsidR="004D1200" w:rsidRPr="00507C12" w:rsidRDefault="004D1200" w:rsidP="0061572D">
      <w:pPr>
        <w:spacing w:after="0"/>
        <w:rPr>
          <w:rFonts w:ascii="Arial" w:eastAsia="Times New Roman" w:hAnsi="Arial" w:cs="Arial"/>
          <w:szCs w:val="20"/>
          <w:lang w:eastAsia="en-GB"/>
        </w:rPr>
      </w:pPr>
    </w:p>
    <w:p w14:paraId="26A2DC79" w14:textId="162DE3C0" w:rsidR="0061572D" w:rsidRPr="00507C12" w:rsidRDefault="0061572D" w:rsidP="00C17C6D">
      <w:pPr>
        <w:spacing w:after="160" w:line="259" w:lineRule="auto"/>
        <w:jc w:val="left"/>
        <w:rPr>
          <w:rFonts w:ascii="Arial" w:eastAsia="Times New Roman" w:hAnsi="Arial" w:cs="Arial"/>
          <w:b/>
          <w:szCs w:val="20"/>
          <w:lang w:eastAsia="en-GB"/>
        </w:rPr>
      </w:pPr>
      <w:r w:rsidRPr="00507C12">
        <w:rPr>
          <w:rFonts w:ascii="Arial" w:eastAsia="Times New Roman" w:hAnsi="Arial" w:cs="Arial"/>
          <w:b/>
          <w:szCs w:val="20"/>
          <w:lang w:eastAsia="en-GB"/>
        </w:rPr>
        <w:t>Receipts Arising from the Sale of Fixed Assets</w:t>
      </w:r>
    </w:p>
    <w:p w14:paraId="50F0E0AD" w14:textId="6965693E" w:rsidR="0061572D" w:rsidRPr="00507C12" w:rsidRDefault="0061572D" w:rsidP="0061572D">
      <w:pPr>
        <w:spacing w:after="0"/>
        <w:rPr>
          <w:rFonts w:ascii="Arial" w:hAnsi="Arial" w:cs="Arial"/>
          <w:color w:val="000000"/>
          <w:szCs w:val="20"/>
        </w:rPr>
      </w:pPr>
      <w:r w:rsidRPr="00507C12">
        <w:rPr>
          <w:rFonts w:ascii="Arial" w:eastAsia="Times New Roman" w:hAnsi="Arial" w:cs="Arial"/>
          <w:szCs w:val="20"/>
          <w:lang w:eastAsia="en-GB"/>
        </w:rPr>
        <w:t xml:space="preserve">Amounts received for a disposal of an asset in excess of £10,000 (the Council’s de-minimus level) are categorised as capital receipts. </w:t>
      </w:r>
      <w:r w:rsidRPr="00507C12">
        <w:rPr>
          <w:rFonts w:ascii="Arial" w:hAnsi="Arial" w:cs="Arial"/>
          <w:color w:val="000000"/>
          <w:szCs w:val="20"/>
        </w:rPr>
        <w:t xml:space="preserve">A proportion of capital receipts relating to housing disposals is payable to the government. The balance of receipts remains within the Capital Receipts Reserve, and can then only be used for new capital </w:t>
      </w:r>
      <w:r w:rsidR="00A07AED">
        <w:rPr>
          <w:rFonts w:ascii="Arial" w:hAnsi="Arial" w:cs="Arial"/>
          <w:color w:val="000000"/>
          <w:szCs w:val="20"/>
        </w:rPr>
        <w:t xml:space="preserve">investment, </w:t>
      </w:r>
      <w:r w:rsidRPr="00507C12">
        <w:rPr>
          <w:rFonts w:ascii="Arial" w:hAnsi="Arial" w:cs="Arial"/>
          <w:color w:val="000000"/>
          <w:szCs w:val="20"/>
        </w:rPr>
        <w:t xml:space="preserve">or set aside to reduce the Council’s underlying need to borrow (the capital financing requirement). Receipts are appropriated to the Reserve from the General Fund Balance in the Movement in Reserves Statement.  </w:t>
      </w:r>
    </w:p>
    <w:p w14:paraId="43E83B11" w14:textId="77777777" w:rsidR="0061572D" w:rsidRPr="00507C12" w:rsidRDefault="0061572D" w:rsidP="0061572D">
      <w:pPr>
        <w:spacing w:after="0"/>
        <w:rPr>
          <w:rFonts w:ascii="Arial" w:hAnsi="Arial" w:cs="Arial"/>
          <w:color w:val="000000"/>
          <w:szCs w:val="20"/>
        </w:rPr>
      </w:pPr>
    </w:p>
    <w:p w14:paraId="3F2EDC6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written-off value of disposals is not a charge against council tax, as the cost of fixed assets is fully provided for under separate arrangements for capital financing.  Amounts are appropriated to the Capital Adjustment Account from the General Fund Balance in the Movement in Reserves Statement.</w:t>
      </w:r>
    </w:p>
    <w:p w14:paraId="03CB5F53" w14:textId="77777777" w:rsidR="0061572D" w:rsidRPr="00507C12" w:rsidRDefault="0061572D" w:rsidP="0061572D">
      <w:pPr>
        <w:spacing w:after="0"/>
        <w:rPr>
          <w:rFonts w:ascii="Arial" w:eastAsia="Times New Roman" w:hAnsi="Arial" w:cs="Arial"/>
          <w:szCs w:val="20"/>
          <w:lang w:eastAsia="en-GB"/>
        </w:rPr>
      </w:pPr>
    </w:p>
    <w:p w14:paraId="2C14B431"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Provisions, Contingent Liabilities and Contingent Assets</w:t>
      </w:r>
    </w:p>
    <w:p w14:paraId="315188C1" w14:textId="77777777" w:rsidR="0061572D" w:rsidRPr="00507C12" w:rsidRDefault="0061572D" w:rsidP="0061572D">
      <w:pPr>
        <w:spacing w:after="0"/>
        <w:outlineLvl w:val="0"/>
        <w:rPr>
          <w:rFonts w:ascii="Arial" w:eastAsia="Times New Roman" w:hAnsi="Arial" w:cs="Arial"/>
          <w:b/>
          <w:szCs w:val="20"/>
          <w:lang w:eastAsia="en-GB"/>
        </w:rPr>
      </w:pPr>
    </w:p>
    <w:p w14:paraId="1FF81C7F" w14:textId="77777777" w:rsidR="0061572D" w:rsidRPr="00507C12" w:rsidRDefault="0061572D" w:rsidP="0061572D">
      <w:pPr>
        <w:spacing w:after="0"/>
        <w:outlineLvl w:val="0"/>
        <w:rPr>
          <w:rFonts w:ascii="Arial" w:eastAsia="Times New Roman" w:hAnsi="Arial" w:cs="Arial"/>
          <w:b/>
          <w:szCs w:val="20"/>
          <w:lang w:eastAsia="en-GB"/>
        </w:rPr>
      </w:pPr>
      <w:r w:rsidRPr="00507C12">
        <w:rPr>
          <w:rFonts w:ascii="Arial" w:eastAsia="Times New Roman" w:hAnsi="Arial" w:cs="Arial"/>
          <w:b/>
          <w:szCs w:val="20"/>
          <w:lang w:eastAsia="en-GB"/>
        </w:rPr>
        <w:t>Provisions</w:t>
      </w:r>
    </w:p>
    <w:p w14:paraId="0C69F97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Provisions are made where an event has taken place that gives the Council a legal or constructive obligation that probably requires settlement by a transfer of economic benefit and a reliable estimate can be made of the amount of the obligation.  For instance, the Council may be involved in a court case that could eventually result in the making of a settlement or the payment of compensation.  </w:t>
      </w:r>
    </w:p>
    <w:p w14:paraId="589364ED" w14:textId="77777777" w:rsidR="0061572D" w:rsidRPr="00507C12" w:rsidRDefault="0061572D" w:rsidP="0061572D">
      <w:pPr>
        <w:spacing w:after="0"/>
        <w:rPr>
          <w:rFonts w:ascii="Arial" w:eastAsia="Times New Roman" w:hAnsi="Arial" w:cs="Arial"/>
          <w:szCs w:val="20"/>
          <w:lang w:eastAsia="en-GB"/>
        </w:rPr>
      </w:pPr>
    </w:p>
    <w:p w14:paraId="2993C21F"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Provisions are charged as an expense to the appropriate service line in the Comprehensive Income and Expenditure Statement when the Council has an obligation, and are measured at the best estimate at the Balance Sheet date of the expenditure required to settle the obligation, taking into account relevant risks and uncertainties.</w:t>
      </w:r>
    </w:p>
    <w:p w14:paraId="248AF9ED" w14:textId="77777777" w:rsidR="0061572D" w:rsidRPr="00507C12" w:rsidRDefault="0061572D" w:rsidP="0061572D">
      <w:pPr>
        <w:spacing w:after="0"/>
        <w:rPr>
          <w:rFonts w:ascii="Arial" w:eastAsia="Times New Roman" w:hAnsi="Arial" w:cs="Arial"/>
          <w:szCs w:val="20"/>
          <w:lang w:eastAsia="en-GB"/>
        </w:rPr>
      </w:pPr>
    </w:p>
    <w:p w14:paraId="02A2CAB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When payments are eventually made, they are charged to the provision carried in the Balance Sheet.  Estimated settlements are reviewed at the end of the financial </w:t>
      </w:r>
      <w:r>
        <w:rPr>
          <w:rFonts w:ascii="Arial" w:eastAsia="Times New Roman" w:hAnsi="Arial" w:cs="Arial"/>
          <w:szCs w:val="20"/>
          <w:lang w:eastAsia="en-GB"/>
        </w:rPr>
        <w:t>year, where it becomes less than</w:t>
      </w:r>
      <w:r w:rsidRPr="00507C12">
        <w:rPr>
          <w:rFonts w:ascii="Arial" w:eastAsia="Times New Roman" w:hAnsi="Arial" w:cs="Arial"/>
          <w:szCs w:val="20"/>
          <w:lang w:eastAsia="en-GB"/>
        </w:rPr>
        <w:t xml:space="preserve"> probable that a transfer of economic benefit will now be required (or a lower settlement than anticipated is made) the provision is reversed and credited back to the relevant service revenue.  </w:t>
      </w:r>
    </w:p>
    <w:p w14:paraId="3A46E116" w14:textId="77777777" w:rsidR="0061572D" w:rsidRPr="00507C12" w:rsidRDefault="0061572D" w:rsidP="0061572D">
      <w:pPr>
        <w:spacing w:after="0"/>
        <w:rPr>
          <w:rFonts w:ascii="Arial" w:eastAsia="Times New Roman" w:hAnsi="Arial" w:cs="Arial"/>
          <w:szCs w:val="20"/>
          <w:lang w:eastAsia="en-GB"/>
        </w:rPr>
      </w:pPr>
    </w:p>
    <w:p w14:paraId="4C35DB57"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some or all of the payment required to settle a provision is expected to be recovered from another party (for example, an insurance claim), this is only recognised as income in the relevant service revenue account if it is virtually certain that reimbursement will be received if the obligation is settled.</w:t>
      </w:r>
    </w:p>
    <w:p w14:paraId="492C7AFC" w14:textId="77777777" w:rsidR="0061572D" w:rsidRPr="00507C12" w:rsidRDefault="0061572D" w:rsidP="0061572D">
      <w:pPr>
        <w:spacing w:after="0"/>
        <w:rPr>
          <w:rFonts w:ascii="Arial" w:eastAsia="Times New Roman" w:hAnsi="Arial" w:cs="Arial"/>
          <w:szCs w:val="20"/>
          <w:lang w:eastAsia="en-GB"/>
        </w:rPr>
      </w:pPr>
    </w:p>
    <w:p w14:paraId="4A770258" w14:textId="77777777" w:rsidR="0061572D" w:rsidRPr="00507C12" w:rsidRDefault="0061572D" w:rsidP="0061572D">
      <w:pPr>
        <w:spacing w:after="0"/>
        <w:outlineLvl w:val="0"/>
        <w:rPr>
          <w:rFonts w:ascii="Arial" w:eastAsia="Times New Roman" w:hAnsi="Arial" w:cs="Arial"/>
          <w:b/>
          <w:szCs w:val="20"/>
          <w:lang w:eastAsia="en-GB"/>
        </w:rPr>
      </w:pPr>
      <w:r w:rsidRPr="00507C12">
        <w:rPr>
          <w:rFonts w:ascii="Arial" w:eastAsia="Times New Roman" w:hAnsi="Arial" w:cs="Arial"/>
          <w:b/>
          <w:szCs w:val="20"/>
          <w:lang w:eastAsia="en-GB"/>
        </w:rPr>
        <w:t>Contingent Liabilities</w:t>
      </w:r>
    </w:p>
    <w:p w14:paraId="52A1B9EB"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A contingent liability arises where an event has taken place that gives the Council a possible obligation whose existence will only be confirmed by the occurrence or otherwise of uncertain future events not wholly within the control of the Council.  Contingent liabilities also arise in circumstances where a provision would otherwise be made but either it is not probable that an outflow of resources will be required or the amount of the obligation cannot be measured reliably.  </w:t>
      </w:r>
    </w:p>
    <w:p w14:paraId="21663EF2" w14:textId="77777777" w:rsidR="0061572D" w:rsidRPr="00507C12" w:rsidRDefault="0061572D" w:rsidP="0061572D">
      <w:pPr>
        <w:spacing w:after="0"/>
        <w:rPr>
          <w:rFonts w:ascii="Arial" w:eastAsia="Times New Roman" w:hAnsi="Arial" w:cs="Arial"/>
          <w:szCs w:val="20"/>
          <w:lang w:eastAsia="en-GB"/>
        </w:rPr>
      </w:pPr>
    </w:p>
    <w:p w14:paraId="6A8983D5"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Contingent liabilities are not recognised in the Balance Sheet but disclosed in the notes to the Accounts.</w:t>
      </w:r>
    </w:p>
    <w:p w14:paraId="38936BE1" w14:textId="77777777" w:rsidR="0061572D" w:rsidRPr="00507C12" w:rsidRDefault="0061572D" w:rsidP="0061572D">
      <w:pPr>
        <w:spacing w:after="0"/>
        <w:rPr>
          <w:rFonts w:ascii="Arial" w:eastAsia="Times New Roman" w:hAnsi="Arial" w:cs="Arial"/>
          <w:szCs w:val="20"/>
          <w:lang w:eastAsia="en-GB"/>
        </w:rPr>
      </w:pPr>
    </w:p>
    <w:p w14:paraId="0A9E66FD" w14:textId="77777777" w:rsidR="0061572D" w:rsidRPr="00507C12" w:rsidRDefault="0061572D" w:rsidP="0061572D">
      <w:pPr>
        <w:spacing w:after="0"/>
        <w:rPr>
          <w:rFonts w:ascii="Arial" w:eastAsia="Times New Roman" w:hAnsi="Arial" w:cs="Arial"/>
          <w:b/>
          <w:szCs w:val="20"/>
          <w:lang w:eastAsia="en-GB"/>
        </w:rPr>
      </w:pPr>
      <w:r w:rsidRPr="00507C12">
        <w:rPr>
          <w:rFonts w:ascii="Arial" w:eastAsia="Times New Roman" w:hAnsi="Arial" w:cs="Arial"/>
          <w:b/>
          <w:szCs w:val="20"/>
          <w:lang w:eastAsia="en-GB"/>
        </w:rPr>
        <w:t>Contingent Assets</w:t>
      </w:r>
    </w:p>
    <w:p w14:paraId="79E1BFFD"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A contingent asset arises where an event has taken place that gives the Council a possible asset whose existence will only be confirmed by the occurrence of uncertain future events not wholly within the control of the Council.  </w:t>
      </w:r>
    </w:p>
    <w:p w14:paraId="648F4312" w14:textId="77777777" w:rsidR="0061572D" w:rsidRPr="00507C12" w:rsidRDefault="0061572D" w:rsidP="0061572D">
      <w:pPr>
        <w:spacing w:after="0"/>
        <w:rPr>
          <w:rFonts w:ascii="Arial" w:eastAsia="Times New Roman" w:hAnsi="Arial" w:cs="Arial"/>
          <w:szCs w:val="20"/>
          <w:lang w:eastAsia="en-GB"/>
        </w:rPr>
      </w:pPr>
    </w:p>
    <w:p w14:paraId="670CF49C"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Contingent assets are not recognised in the Balance Sheet but disclosed in the notes to the Accounts where it is probable that there will be an inflow of economic benefits or service potential.</w:t>
      </w:r>
    </w:p>
    <w:p w14:paraId="7710F42A" w14:textId="77777777" w:rsidR="0061572D" w:rsidRPr="00507C12" w:rsidRDefault="0061572D" w:rsidP="0061572D">
      <w:pPr>
        <w:spacing w:after="0"/>
        <w:rPr>
          <w:rFonts w:ascii="Arial" w:eastAsia="Times New Roman" w:hAnsi="Arial" w:cs="Arial"/>
          <w:szCs w:val="20"/>
          <w:lang w:eastAsia="en-GB"/>
        </w:rPr>
      </w:pPr>
    </w:p>
    <w:p w14:paraId="6073D3E3"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Reserves</w:t>
      </w:r>
    </w:p>
    <w:p w14:paraId="56948334" w14:textId="77777777" w:rsidR="0061572D" w:rsidRPr="00507C12" w:rsidRDefault="0061572D" w:rsidP="0061572D">
      <w:pPr>
        <w:spacing w:after="0"/>
        <w:rPr>
          <w:rFonts w:ascii="Arial" w:eastAsia="Calibri" w:hAnsi="Arial" w:cs="Arial"/>
          <w:b/>
          <w:szCs w:val="20"/>
        </w:rPr>
      </w:pPr>
    </w:p>
    <w:p w14:paraId="1A7A56A2"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The Council sets aside specific amounts as reserves for future policy purposes or to cover contingencies.  Reserves are created by transferring amounts out of the General Fund Balance.  When expenditure to be financed from a reserve is incurred, it is charged to the appropriate service in that year against the net cost of services in the Comprehensive Income and Expenditure Statement.  The reserve is then appropriated back into the General Fund so that there is no net charge against council tax for the expenditure.</w:t>
      </w:r>
    </w:p>
    <w:p w14:paraId="625A382D" w14:textId="77777777" w:rsidR="0061572D" w:rsidRPr="00507C12" w:rsidRDefault="0061572D" w:rsidP="0061572D">
      <w:pPr>
        <w:spacing w:after="0"/>
        <w:rPr>
          <w:rFonts w:ascii="Arial" w:eastAsia="Times New Roman" w:hAnsi="Arial" w:cs="Arial"/>
          <w:szCs w:val="20"/>
          <w:lang w:eastAsia="en-GB"/>
        </w:rPr>
      </w:pPr>
    </w:p>
    <w:p w14:paraId="3A2A0072"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Certain reserves are kept to manage the accounting processes for non-current assets, financial instruments, retirement and employee benefits and do not represent usable resources for the Council – these reserves are</w:t>
      </w:r>
      <w:r>
        <w:rPr>
          <w:rFonts w:ascii="Arial" w:eastAsia="Times New Roman" w:hAnsi="Arial" w:cs="Arial"/>
          <w:szCs w:val="20"/>
          <w:lang w:eastAsia="en-GB"/>
        </w:rPr>
        <w:t xml:space="preserve"> explained in relevant policies.</w:t>
      </w:r>
    </w:p>
    <w:p w14:paraId="785FF70B" w14:textId="77777777" w:rsidR="0061572D" w:rsidRPr="00507C12" w:rsidRDefault="0061572D" w:rsidP="0061572D">
      <w:pPr>
        <w:spacing w:after="0"/>
        <w:rPr>
          <w:rFonts w:ascii="Arial" w:eastAsia="Times New Roman" w:hAnsi="Arial" w:cs="Arial"/>
          <w:szCs w:val="20"/>
          <w:lang w:eastAsia="en-GB"/>
        </w:rPr>
      </w:pPr>
    </w:p>
    <w:p w14:paraId="149554D7"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Revenue Expenditure Funded from Capital under Statute</w:t>
      </w:r>
    </w:p>
    <w:p w14:paraId="3FE468B0" w14:textId="77777777" w:rsidR="0061572D" w:rsidRPr="00507C12" w:rsidRDefault="0061572D" w:rsidP="0061572D">
      <w:pPr>
        <w:spacing w:after="0"/>
        <w:rPr>
          <w:rFonts w:ascii="Arial" w:eastAsia="Times New Roman" w:hAnsi="Arial" w:cs="Arial"/>
          <w:szCs w:val="20"/>
          <w:lang w:eastAsia="en-GB"/>
        </w:rPr>
      </w:pPr>
    </w:p>
    <w:p w14:paraId="389104B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t>
      </w:r>
    </w:p>
    <w:p w14:paraId="2E6E1BEC" w14:textId="77777777" w:rsidR="0061572D" w:rsidRPr="00507C12" w:rsidRDefault="0061572D" w:rsidP="0061572D">
      <w:pPr>
        <w:spacing w:after="0"/>
        <w:rPr>
          <w:rFonts w:ascii="Arial" w:eastAsia="Times New Roman" w:hAnsi="Arial" w:cs="Arial"/>
          <w:szCs w:val="20"/>
          <w:lang w:eastAsia="en-GB"/>
        </w:rPr>
      </w:pPr>
    </w:p>
    <w:p w14:paraId="5131FEDB" w14:textId="77777777" w:rsidR="0061572D"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the Council has determined to meet the cost of this expenditure from existing capital resources or by borrowing, a transfer in the Movement in Reserves Statement from the General Fund Balance to the Capital Adjustment Account then reverses out the amounts charged so there is no impact on the level of council tax.</w:t>
      </w:r>
    </w:p>
    <w:p w14:paraId="060AF466" w14:textId="77777777" w:rsidR="0061572D" w:rsidRPr="00507C12" w:rsidRDefault="0061572D" w:rsidP="0061572D">
      <w:pPr>
        <w:spacing w:after="0"/>
        <w:rPr>
          <w:rFonts w:ascii="Arial" w:eastAsia="Times New Roman" w:hAnsi="Arial" w:cs="Arial"/>
          <w:szCs w:val="20"/>
          <w:lang w:eastAsia="en-GB"/>
        </w:rPr>
      </w:pPr>
    </w:p>
    <w:p w14:paraId="6D4EA28D" w14:textId="69A6CDB9" w:rsidR="0061572D" w:rsidRPr="00507C12" w:rsidRDefault="00AF076B" w:rsidP="0061572D">
      <w:pPr>
        <w:pStyle w:val="ListParagraph"/>
        <w:numPr>
          <w:ilvl w:val="0"/>
          <w:numId w:val="5"/>
        </w:numPr>
        <w:spacing w:after="0"/>
        <w:ind w:left="0" w:firstLine="0"/>
        <w:outlineLvl w:val="0"/>
        <w:rPr>
          <w:rFonts w:ascii="Arial" w:eastAsia="Times New Roman" w:hAnsi="Arial" w:cs="Arial"/>
          <w:b/>
          <w:szCs w:val="20"/>
          <w:lang w:eastAsia="en-GB"/>
        </w:rPr>
      </w:pPr>
      <w:r>
        <w:rPr>
          <w:rFonts w:ascii="Arial" w:eastAsia="Times New Roman" w:hAnsi="Arial" w:cs="Arial"/>
          <w:b/>
          <w:szCs w:val="20"/>
          <w:lang w:eastAsia="en-GB"/>
        </w:rPr>
        <w:t>Value Added Tax (</w:t>
      </w:r>
      <w:r w:rsidR="0061572D" w:rsidRPr="00507C12">
        <w:rPr>
          <w:rFonts w:ascii="Arial" w:eastAsia="Times New Roman" w:hAnsi="Arial" w:cs="Arial"/>
          <w:b/>
          <w:szCs w:val="20"/>
          <w:lang w:eastAsia="en-GB"/>
        </w:rPr>
        <w:t>VAT</w:t>
      </w:r>
      <w:r>
        <w:rPr>
          <w:rFonts w:ascii="Arial" w:eastAsia="Times New Roman" w:hAnsi="Arial" w:cs="Arial"/>
          <w:b/>
          <w:szCs w:val="20"/>
          <w:lang w:eastAsia="en-GB"/>
        </w:rPr>
        <w:t>)</w:t>
      </w:r>
    </w:p>
    <w:p w14:paraId="7CBEEF95" w14:textId="77777777" w:rsidR="0061572D" w:rsidRPr="00507C12" w:rsidRDefault="0061572D" w:rsidP="0061572D">
      <w:pPr>
        <w:spacing w:after="0"/>
        <w:rPr>
          <w:rFonts w:ascii="Arial" w:eastAsia="Times New Roman" w:hAnsi="Arial" w:cs="Arial"/>
          <w:szCs w:val="20"/>
          <w:lang w:eastAsia="en-GB"/>
        </w:rPr>
      </w:pPr>
    </w:p>
    <w:p w14:paraId="43FA2AC7"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VAT payable is included as an expense only to the extent that it is not recoverable from Her Majesty’s Revenue and Customs.  VAT receivable is excluded from income.  </w:t>
      </w:r>
    </w:p>
    <w:p w14:paraId="6F47F3AD" w14:textId="77777777" w:rsidR="0061572D" w:rsidRPr="00507C12" w:rsidRDefault="0061572D" w:rsidP="0061572D">
      <w:pPr>
        <w:spacing w:after="0"/>
        <w:rPr>
          <w:rFonts w:ascii="Arial" w:eastAsia="Times New Roman" w:hAnsi="Arial" w:cs="Arial"/>
          <w:szCs w:val="20"/>
          <w:lang w:eastAsia="en-GB"/>
        </w:rPr>
      </w:pPr>
    </w:p>
    <w:p w14:paraId="365C1674" w14:textId="77E7EB3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 xml:space="preserve">Fair Value Measurement </w:t>
      </w:r>
      <w:r w:rsidR="004D1200">
        <w:rPr>
          <w:rFonts w:ascii="Arial" w:eastAsia="Times New Roman" w:hAnsi="Arial" w:cs="Arial"/>
          <w:b/>
          <w:szCs w:val="20"/>
          <w:lang w:eastAsia="en-GB"/>
        </w:rPr>
        <w:t>of non-current assets</w:t>
      </w:r>
    </w:p>
    <w:p w14:paraId="05D63B7B" w14:textId="77777777" w:rsidR="0061572D" w:rsidRPr="00507C12" w:rsidRDefault="0061572D" w:rsidP="0061572D">
      <w:pPr>
        <w:pStyle w:val="Default"/>
        <w:rPr>
          <w:rFonts w:ascii="Arial" w:hAnsi="Arial" w:cs="Arial"/>
          <w:sz w:val="22"/>
          <w:szCs w:val="20"/>
          <w:lang w:eastAsia="en-US"/>
        </w:rPr>
      </w:pPr>
    </w:p>
    <w:p w14:paraId="06B4A146" w14:textId="77777777" w:rsidR="0061572D" w:rsidRPr="00507C12" w:rsidRDefault="0061572D" w:rsidP="0061572D">
      <w:pPr>
        <w:pStyle w:val="Pa10"/>
        <w:spacing w:line="160" w:lineRule="atLeast"/>
        <w:rPr>
          <w:rFonts w:ascii="Arial" w:hAnsi="Arial" w:cs="Arial"/>
          <w:color w:val="000000"/>
          <w:sz w:val="22"/>
          <w:szCs w:val="20"/>
        </w:rPr>
      </w:pPr>
      <w:r w:rsidRPr="00507C12">
        <w:rPr>
          <w:rFonts w:ascii="Arial" w:hAnsi="Arial" w:cs="Arial"/>
          <w:color w:val="000000"/>
          <w:sz w:val="22"/>
          <w:szCs w:val="20"/>
        </w:rPr>
        <w:t xml:space="preserve">The Council measures some of its non-financial assets such as surplus assets and investment properties and some of its financial instruments at fair value at each reporting date.  Fair value is the price that would be received to sell an asset or paid to transfer a liability in an orderly transaction between market participants at the measurement date. The fair value measurement assumes that the transaction to sell the asset or transfer the liability takes place either: </w:t>
      </w:r>
    </w:p>
    <w:p w14:paraId="5A9BA7C3" w14:textId="3F2F31CF" w:rsidR="0061572D" w:rsidRDefault="0061572D" w:rsidP="0061572D">
      <w:pPr>
        <w:pStyle w:val="Pa11"/>
        <w:numPr>
          <w:ilvl w:val="0"/>
          <w:numId w:val="20"/>
        </w:numPr>
        <w:spacing w:line="160" w:lineRule="atLeast"/>
        <w:rPr>
          <w:rFonts w:ascii="Arial" w:hAnsi="Arial" w:cs="Arial"/>
          <w:color w:val="000000"/>
          <w:sz w:val="22"/>
          <w:szCs w:val="20"/>
        </w:rPr>
      </w:pPr>
      <w:r w:rsidRPr="00507C12">
        <w:rPr>
          <w:rFonts w:ascii="Arial" w:hAnsi="Arial" w:cs="Arial"/>
          <w:color w:val="000000"/>
          <w:sz w:val="22"/>
          <w:szCs w:val="20"/>
        </w:rPr>
        <w:t xml:space="preserve">in the principal market for the asset or liability, or </w:t>
      </w:r>
    </w:p>
    <w:p w14:paraId="1096B8DB" w14:textId="77777777" w:rsidR="00AF076B" w:rsidRPr="00AF076B" w:rsidRDefault="00AF076B" w:rsidP="00AF076B">
      <w:pPr>
        <w:pStyle w:val="Default"/>
        <w:rPr>
          <w:lang w:eastAsia="en-US"/>
        </w:rPr>
      </w:pPr>
    </w:p>
    <w:p w14:paraId="207FB98F" w14:textId="77777777" w:rsidR="0061572D" w:rsidRPr="00507C12" w:rsidRDefault="0061572D" w:rsidP="0061572D">
      <w:pPr>
        <w:pStyle w:val="Pa11"/>
        <w:numPr>
          <w:ilvl w:val="0"/>
          <w:numId w:val="20"/>
        </w:numPr>
        <w:spacing w:line="160" w:lineRule="atLeast"/>
        <w:rPr>
          <w:rFonts w:ascii="Arial" w:hAnsi="Arial" w:cs="Arial"/>
          <w:color w:val="000000"/>
          <w:sz w:val="22"/>
          <w:szCs w:val="20"/>
        </w:rPr>
      </w:pPr>
      <w:r w:rsidRPr="00507C12">
        <w:rPr>
          <w:rFonts w:ascii="Arial" w:hAnsi="Arial" w:cs="Arial"/>
          <w:color w:val="000000"/>
          <w:sz w:val="22"/>
          <w:szCs w:val="20"/>
        </w:rPr>
        <w:t>in the absence of a principal market, in the most advantageous market for the asset or liability.</w:t>
      </w:r>
    </w:p>
    <w:p w14:paraId="5EFE74FE" w14:textId="77777777" w:rsidR="0061572D" w:rsidRPr="00507C12" w:rsidRDefault="0061572D" w:rsidP="0061572D">
      <w:pPr>
        <w:pStyle w:val="Pa11"/>
        <w:spacing w:line="160" w:lineRule="atLeast"/>
        <w:rPr>
          <w:rFonts w:ascii="Arial" w:hAnsi="Arial" w:cs="Arial"/>
          <w:color w:val="000000"/>
          <w:sz w:val="22"/>
          <w:szCs w:val="20"/>
        </w:rPr>
      </w:pPr>
      <w:r w:rsidRPr="00507C12">
        <w:rPr>
          <w:rStyle w:val="A14"/>
          <w:rFonts w:ascii="Arial" w:hAnsi="Arial" w:cs="Arial"/>
          <w:sz w:val="22"/>
          <w:szCs w:val="20"/>
        </w:rPr>
        <w:t xml:space="preserve"> </w:t>
      </w:r>
    </w:p>
    <w:p w14:paraId="62DB3081" w14:textId="77777777" w:rsidR="0061572D" w:rsidRPr="00507C12" w:rsidRDefault="0061572D" w:rsidP="0061572D">
      <w:pPr>
        <w:pStyle w:val="Pa10"/>
        <w:spacing w:line="160" w:lineRule="atLeast"/>
        <w:rPr>
          <w:rFonts w:ascii="Arial" w:hAnsi="Arial" w:cs="Arial"/>
          <w:color w:val="000000"/>
          <w:sz w:val="22"/>
          <w:szCs w:val="20"/>
        </w:rPr>
      </w:pPr>
      <w:r w:rsidRPr="00507C12">
        <w:rPr>
          <w:rFonts w:ascii="Arial" w:hAnsi="Arial" w:cs="Arial"/>
          <w:color w:val="000000"/>
          <w:sz w:val="22"/>
          <w:szCs w:val="20"/>
        </w:rPr>
        <w:t xml:space="preserve">The Council measures the fair value of an asset or liability using the assumptions that market participants would use when pricing the asset or liability, assuming that market participants act in their economic best interest.  </w:t>
      </w:r>
    </w:p>
    <w:p w14:paraId="0DE0A4DA" w14:textId="77777777" w:rsidR="0061572D" w:rsidRPr="00507C12" w:rsidRDefault="0061572D" w:rsidP="0061572D">
      <w:pPr>
        <w:pStyle w:val="Pa10"/>
        <w:spacing w:line="160" w:lineRule="atLeast"/>
        <w:rPr>
          <w:rFonts w:ascii="Arial" w:hAnsi="Arial" w:cs="Arial"/>
          <w:color w:val="000000"/>
          <w:sz w:val="22"/>
          <w:szCs w:val="20"/>
        </w:rPr>
      </w:pPr>
    </w:p>
    <w:p w14:paraId="7E20E674" w14:textId="77777777" w:rsidR="0061572D" w:rsidRPr="00507C12" w:rsidRDefault="0061572D" w:rsidP="0061572D">
      <w:pPr>
        <w:pStyle w:val="Pa10"/>
        <w:spacing w:line="160" w:lineRule="atLeast"/>
        <w:rPr>
          <w:rFonts w:ascii="Arial" w:hAnsi="Arial" w:cs="Arial"/>
          <w:color w:val="000000"/>
          <w:sz w:val="22"/>
          <w:szCs w:val="20"/>
        </w:rPr>
      </w:pPr>
      <w:r w:rsidRPr="00507C12">
        <w:rPr>
          <w:rFonts w:ascii="Arial" w:hAnsi="Arial" w:cs="Arial"/>
          <w:color w:val="000000"/>
          <w:sz w:val="22"/>
          <w:szCs w:val="20"/>
        </w:rPr>
        <w:t xml:space="preserve">When measuring the fair value of a non-financial asset, the Council takes into account a market participant’s ability to generate economic benefits by using the asset in its highest and best use or by selling it to another market participant that would use the asset in its highest and best use.  </w:t>
      </w:r>
    </w:p>
    <w:p w14:paraId="4F35F73C" w14:textId="77777777" w:rsidR="0061572D" w:rsidRPr="00507C12" w:rsidRDefault="0061572D" w:rsidP="0061572D">
      <w:pPr>
        <w:pStyle w:val="Pa10"/>
        <w:spacing w:line="160" w:lineRule="atLeast"/>
        <w:rPr>
          <w:rFonts w:ascii="Arial" w:hAnsi="Arial" w:cs="Arial"/>
          <w:color w:val="000000"/>
          <w:sz w:val="22"/>
          <w:szCs w:val="20"/>
        </w:rPr>
      </w:pPr>
    </w:p>
    <w:p w14:paraId="645AA5D1" w14:textId="77777777" w:rsidR="0061572D" w:rsidRPr="00507C12" w:rsidRDefault="0061572D" w:rsidP="0061572D">
      <w:pPr>
        <w:pStyle w:val="Pa10"/>
        <w:spacing w:line="240" w:lineRule="auto"/>
        <w:rPr>
          <w:rStyle w:val="A14"/>
          <w:rFonts w:ascii="Arial" w:hAnsi="Arial" w:cs="Arial"/>
          <w:sz w:val="22"/>
          <w:szCs w:val="20"/>
        </w:rPr>
      </w:pPr>
      <w:r w:rsidRPr="00507C12">
        <w:rPr>
          <w:rFonts w:ascii="Arial" w:hAnsi="Arial" w:cs="Arial"/>
          <w:color w:val="000000"/>
          <w:sz w:val="22"/>
          <w:szCs w:val="20"/>
        </w:rPr>
        <w:t>The Council uses valuation techniques that are appropriate in the circumstances and for which sufficient data is available, maximising the use of relevant observable inputs and minimising the use of unobservable inputs.</w:t>
      </w:r>
      <w:r w:rsidRPr="00507C12">
        <w:rPr>
          <w:rStyle w:val="A14"/>
          <w:rFonts w:ascii="Arial" w:hAnsi="Arial" w:cs="Arial"/>
          <w:sz w:val="22"/>
          <w:szCs w:val="20"/>
        </w:rPr>
        <w:t xml:space="preserve">  </w:t>
      </w:r>
    </w:p>
    <w:p w14:paraId="049827C9" w14:textId="77777777" w:rsidR="0061572D" w:rsidRPr="00507C12" w:rsidRDefault="0061572D" w:rsidP="0061572D">
      <w:pPr>
        <w:pStyle w:val="Pa10"/>
        <w:spacing w:line="240" w:lineRule="auto"/>
        <w:rPr>
          <w:rStyle w:val="A14"/>
          <w:rFonts w:ascii="Arial" w:hAnsi="Arial" w:cs="Arial"/>
          <w:sz w:val="22"/>
          <w:szCs w:val="20"/>
        </w:rPr>
      </w:pPr>
    </w:p>
    <w:p w14:paraId="5C3AE9DD" w14:textId="77777777" w:rsidR="0061572D" w:rsidRPr="00507C12" w:rsidRDefault="0061572D" w:rsidP="0061572D">
      <w:pPr>
        <w:pStyle w:val="Pa10"/>
        <w:spacing w:line="240" w:lineRule="auto"/>
        <w:rPr>
          <w:rFonts w:ascii="Arial" w:hAnsi="Arial" w:cs="Arial"/>
          <w:color w:val="000000"/>
          <w:sz w:val="22"/>
          <w:szCs w:val="20"/>
        </w:rPr>
      </w:pPr>
      <w:r w:rsidRPr="00507C12">
        <w:rPr>
          <w:rFonts w:ascii="Arial" w:hAnsi="Arial" w:cs="Arial"/>
          <w:color w:val="000000"/>
          <w:sz w:val="22"/>
          <w:szCs w:val="20"/>
        </w:rPr>
        <w:t>Inputs to the valuation techniques in respect of assets and liabilities for which fair value is measured or disclosed in the Council’s financial statements are categorised within the fair value hierarchy, as follows:</w:t>
      </w:r>
      <w:r w:rsidRPr="00507C12">
        <w:rPr>
          <w:rStyle w:val="A14"/>
          <w:rFonts w:ascii="Arial" w:hAnsi="Arial" w:cs="Arial"/>
          <w:sz w:val="22"/>
          <w:szCs w:val="20"/>
        </w:rPr>
        <w:t xml:space="preserve"> </w:t>
      </w:r>
    </w:p>
    <w:p w14:paraId="4FA3BE07" w14:textId="1CB3D79E" w:rsidR="00AF076B" w:rsidRPr="00AF076B" w:rsidRDefault="0061572D" w:rsidP="00AF076B">
      <w:pPr>
        <w:pStyle w:val="Default"/>
        <w:numPr>
          <w:ilvl w:val="0"/>
          <w:numId w:val="21"/>
        </w:numPr>
        <w:spacing w:after="86" w:line="160" w:lineRule="atLeast"/>
        <w:rPr>
          <w:rFonts w:ascii="Arial" w:hAnsi="Arial" w:cs="Arial"/>
          <w:sz w:val="22"/>
          <w:szCs w:val="20"/>
        </w:rPr>
      </w:pPr>
      <w:r w:rsidRPr="00507C12">
        <w:rPr>
          <w:rFonts w:ascii="Arial" w:hAnsi="Arial" w:cs="Arial"/>
          <w:sz w:val="22"/>
          <w:szCs w:val="20"/>
        </w:rPr>
        <w:t xml:space="preserve">Level 1 – quoted prices (unadjusted) in active markets for identical assets or liabilities that the Council can access at the measurement date </w:t>
      </w:r>
    </w:p>
    <w:p w14:paraId="0DFCF93D" w14:textId="77777777" w:rsidR="0061572D" w:rsidRPr="00507C12" w:rsidRDefault="0061572D" w:rsidP="0061572D">
      <w:pPr>
        <w:pStyle w:val="Default"/>
        <w:numPr>
          <w:ilvl w:val="0"/>
          <w:numId w:val="21"/>
        </w:numPr>
        <w:spacing w:after="86" w:line="160" w:lineRule="atLeast"/>
        <w:rPr>
          <w:rFonts w:ascii="Arial" w:hAnsi="Arial" w:cs="Arial"/>
          <w:color w:val="auto"/>
          <w:sz w:val="22"/>
          <w:szCs w:val="20"/>
        </w:rPr>
      </w:pPr>
      <w:r w:rsidRPr="00507C12">
        <w:rPr>
          <w:rFonts w:ascii="Arial" w:hAnsi="Arial" w:cs="Arial"/>
          <w:sz w:val="22"/>
          <w:szCs w:val="20"/>
        </w:rPr>
        <w:t xml:space="preserve">Level 2 – inputs other than quoted prices included within Level 1 that are observable for the asset or liability, either directly or indirectly </w:t>
      </w:r>
    </w:p>
    <w:p w14:paraId="3CF251F5" w14:textId="77777777" w:rsidR="0061572D" w:rsidRPr="00507C12" w:rsidRDefault="0061572D" w:rsidP="0061572D">
      <w:pPr>
        <w:pStyle w:val="Default"/>
        <w:numPr>
          <w:ilvl w:val="0"/>
          <w:numId w:val="21"/>
        </w:numPr>
        <w:spacing w:line="160" w:lineRule="atLeast"/>
        <w:rPr>
          <w:rFonts w:ascii="Arial" w:hAnsi="Arial" w:cs="Arial"/>
          <w:color w:val="auto"/>
          <w:sz w:val="22"/>
          <w:szCs w:val="20"/>
        </w:rPr>
      </w:pPr>
      <w:r w:rsidRPr="00507C12">
        <w:rPr>
          <w:rFonts w:ascii="Arial" w:hAnsi="Arial" w:cs="Arial"/>
          <w:color w:val="auto"/>
          <w:sz w:val="22"/>
          <w:szCs w:val="20"/>
        </w:rPr>
        <w:t xml:space="preserve">Level 3 – unobservable inputs for the asset or liability. </w:t>
      </w:r>
    </w:p>
    <w:p w14:paraId="373EF1B5" w14:textId="77777777" w:rsidR="0061572D" w:rsidRPr="00507C12" w:rsidRDefault="0061572D" w:rsidP="0061572D">
      <w:pPr>
        <w:spacing w:after="0"/>
        <w:rPr>
          <w:rFonts w:ascii="Arial" w:eastAsia="Times New Roman" w:hAnsi="Arial" w:cs="Arial"/>
          <w:szCs w:val="20"/>
          <w:lang w:eastAsia="en-GB"/>
        </w:rPr>
      </w:pPr>
    </w:p>
    <w:p w14:paraId="04CB6E18" w14:textId="77777777" w:rsidR="0061572D" w:rsidRPr="00507C12" w:rsidRDefault="0061572D" w:rsidP="0061572D">
      <w:pPr>
        <w:pStyle w:val="ListParagraph"/>
        <w:numPr>
          <w:ilvl w:val="0"/>
          <w:numId w:val="5"/>
        </w:numPr>
        <w:spacing w:after="0"/>
        <w:ind w:left="0" w:firstLine="0"/>
        <w:outlineLvl w:val="0"/>
        <w:rPr>
          <w:rFonts w:ascii="Arial" w:eastAsia="Times New Roman" w:hAnsi="Arial" w:cs="Arial"/>
          <w:b/>
          <w:szCs w:val="20"/>
          <w:lang w:eastAsia="en-GB"/>
        </w:rPr>
      </w:pPr>
      <w:r w:rsidRPr="00507C12">
        <w:rPr>
          <w:rFonts w:ascii="Arial" w:eastAsia="Times New Roman" w:hAnsi="Arial" w:cs="Arial"/>
          <w:b/>
          <w:szCs w:val="20"/>
          <w:lang w:eastAsia="en-GB"/>
        </w:rPr>
        <w:t>Exceptional Items</w:t>
      </w:r>
    </w:p>
    <w:p w14:paraId="0B4B512F" w14:textId="77777777" w:rsidR="0061572D" w:rsidRPr="00507C12" w:rsidRDefault="0061572D" w:rsidP="0061572D">
      <w:pPr>
        <w:spacing w:after="0"/>
        <w:rPr>
          <w:rFonts w:ascii="Arial" w:eastAsia="Calibri" w:hAnsi="Arial" w:cs="Arial"/>
          <w:b/>
          <w:szCs w:val="20"/>
        </w:rPr>
      </w:pPr>
    </w:p>
    <w:p w14:paraId="63762FF8"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When items of income and expenditure are material, their nature is disclosed separately, on the face of the Comprehensive Income and Expenditure statement and in the relevant Note to the accounts, depending on how significant the items are to an understanding of the Council’s financial performance.</w:t>
      </w:r>
    </w:p>
    <w:p w14:paraId="481B2A44" w14:textId="77777777" w:rsidR="0061572D" w:rsidRPr="00507C12" w:rsidRDefault="0061572D" w:rsidP="0061572D">
      <w:pPr>
        <w:spacing w:after="0"/>
        <w:rPr>
          <w:rFonts w:ascii="Arial" w:eastAsia="Times New Roman" w:hAnsi="Arial" w:cs="Arial"/>
          <w:szCs w:val="20"/>
          <w:lang w:eastAsia="en-GB"/>
        </w:rPr>
      </w:pPr>
    </w:p>
    <w:p w14:paraId="55313F21" w14:textId="77777777" w:rsidR="0061572D" w:rsidRPr="00507C12" w:rsidRDefault="0061572D" w:rsidP="0061572D">
      <w:pPr>
        <w:pStyle w:val="ListParagraph"/>
        <w:numPr>
          <w:ilvl w:val="0"/>
          <w:numId w:val="5"/>
        </w:numPr>
        <w:spacing w:after="0"/>
        <w:ind w:left="0" w:firstLine="0"/>
        <w:jc w:val="left"/>
        <w:outlineLvl w:val="0"/>
        <w:rPr>
          <w:rFonts w:ascii="Arial" w:eastAsia="Times New Roman" w:hAnsi="Arial" w:cs="Arial"/>
          <w:b/>
          <w:szCs w:val="20"/>
          <w:lang w:eastAsia="en-GB"/>
        </w:rPr>
      </w:pPr>
      <w:r w:rsidRPr="00507C12">
        <w:rPr>
          <w:rFonts w:ascii="Arial" w:eastAsia="Times New Roman" w:hAnsi="Arial" w:cs="Arial"/>
          <w:b/>
          <w:szCs w:val="20"/>
          <w:lang w:eastAsia="en-GB"/>
        </w:rPr>
        <w:t>Fundamental Accounting Concepts</w:t>
      </w:r>
      <w:r w:rsidRPr="00507C12">
        <w:rPr>
          <w:rFonts w:ascii="Arial" w:eastAsia="Times New Roman" w:hAnsi="Arial" w:cs="Arial"/>
          <w:b/>
          <w:szCs w:val="20"/>
          <w:lang w:eastAsia="en-GB"/>
        </w:rPr>
        <w:br/>
      </w:r>
    </w:p>
    <w:p w14:paraId="5D4FB951"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This Statement of Accounts has been prepared according with the International Accounting Standards Board (IASB) Framework for the Preparation and Presentation of Financial Statements (the IASB Framework) as interpreted by the Code.</w:t>
      </w:r>
    </w:p>
    <w:p w14:paraId="56853A95" w14:textId="77777777" w:rsidR="0061572D" w:rsidRPr="00507C12" w:rsidRDefault="0061572D" w:rsidP="0061572D">
      <w:pPr>
        <w:spacing w:after="0"/>
        <w:rPr>
          <w:rFonts w:ascii="Arial" w:eastAsia="Times New Roman" w:hAnsi="Arial" w:cs="Arial"/>
          <w:szCs w:val="20"/>
          <w:lang w:eastAsia="en-GB"/>
        </w:rPr>
      </w:pPr>
    </w:p>
    <w:p w14:paraId="50253E05" w14:textId="77777777" w:rsidR="0061572D" w:rsidRPr="00507C12" w:rsidRDefault="0061572D" w:rsidP="0061572D">
      <w:pPr>
        <w:spacing w:after="0"/>
        <w:jc w:val="left"/>
        <w:rPr>
          <w:rFonts w:ascii="Arial" w:eastAsia="Times New Roman" w:hAnsi="Arial" w:cs="Arial"/>
          <w:szCs w:val="20"/>
          <w:lang w:eastAsia="en-GB"/>
        </w:rPr>
      </w:pPr>
      <w:r w:rsidRPr="00507C12">
        <w:rPr>
          <w:rFonts w:ascii="Arial" w:eastAsia="Times New Roman" w:hAnsi="Arial" w:cs="Arial"/>
          <w:b/>
          <w:szCs w:val="20"/>
          <w:lang w:eastAsia="en-GB"/>
        </w:rPr>
        <w:t xml:space="preserve">Relevance - </w:t>
      </w:r>
      <w:r w:rsidRPr="00507C12">
        <w:rPr>
          <w:rFonts w:ascii="Arial" w:eastAsia="Times New Roman" w:hAnsi="Arial" w:cs="Arial"/>
          <w:szCs w:val="20"/>
          <w:lang w:eastAsia="en-GB"/>
        </w:rPr>
        <w:t>The objective of the Statement of Accounts is to provide information about the Council’s financial performance and position that is useful for assessing the stewardship of public funds and for making economic decisions.</w:t>
      </w:r>
      <w:r w:rsidRPr="00507C12">
        <w:rPr>
          <w:rFonts w:ascii="Arial" w:eastAsia="Times New Roman" w:hAnsi="Arial" w:cs="Arial"/>
          <w:szCs w:val="20"/>
          <w:lang w:eastAsia="en-GB"/>
        </w:rPr>
        <w:br/>
      </w:r>
    </w:p>
    <w:p w14:paraId="3FC92221"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b/>
          <w:bCs/>
          <w:szCs w:val="20"/>
          <w:lang w:eastAsia="en-GB"/>
        </w:rPr>
        <w:t xml:space="preserve">Reliability - </w:t>
      </w:r>
      <w:r w:rsidRPr="00507C12">
        <w:rPr>
          <w:rFonts w:ascii="Arial" w:eastAsia="Times New Roman" w:hAnsi="Arial" w:cs="Arial"/>
          <w:szCs w:val="20"/>
          <w:lang w:eastAsia="en-GB"/>
        </w:rPr>
        <w:t>The key requirement of this statement is that users are able to rely on the information contained within the Statement of Accounts.   A number of fundamental accounting concepts are applied in order to ensure this reliability:</w:t>
      </w:r>
    </w:p>
    <w:p w14:paraId="222F1D70" w14:textId="77777777" w:rsidR="0061572D" w:rsidRPr="00507C12" w:rsidRDefault="0061572D" w:rsidP="0061572D">
      <w:pPr>
        <w:spacing w:after="0"/>
        <w:rPr>
          <w:rFonts w:ascii="Arial" w:eastAsia="Times New Roman" w:hAnsi="Arial" w:cs="Arial"/>
          <w:szCs w:val="20"/>
          <w:lang w:eastAsia="en-GB"/>
        </w:rPr>
      </w:pPr>
    </w:p>
    <w:p w14:paraId="0489162D" w14:textId="3A63847E" w:rsidR="0061572D" w:rsidRDefault="0061572D" w:rsidP="0061572D">
      <w:pPr>
        <w:pStyle w:val="ListParagraph"/>
        <w:numPr>
          <w:ilvl w:val="0"/>
          <w:numId w:val="22"/>
        </w:num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the Statement of Accounts have been prepared to reflect the reality or substance of each transaction rather than their formal legal character  </w:t>
      </w:r>
    </w:p>
    <w:p w14:paraId="16DEA32D" w14:textId="77777777" w:rsidR="00AF076B" w:rsidRPr="00507C12" w:rsidRDefault="00AF076B" w:rsidP="00AF076B">
      <w:pPr>
        <w:pStyle w:val="ListParagraph"/>
        <w:spacing w:after="0"/>
        <w:rPr>
          <w:rFonts w:ascii="Arial" w:eastAsia="Times New Roman" w:hAnsi="Arial" w:cs="Arial"/>
          <w:szCs w:val="20"/>
          <w:lang w:eastAsia="en-GB"/>
        </w:rPr>
      </w:pPr>
    </w:p>
    <w:p w14:paraId="1A247093" w14:textId="7626C12C" w:rsidR="0061572D" w:rsidRDefault="0061572D" w:rsidP="0061572D">
      <w:pPr>
        <w:pStyle w:val="ListParagraph"/>
        <w:numPr>
          <w:ilvl w:val="0"/>
          <w:numId w:val="22"/>
        </w:numPr>
        <w:spacing w:after="0"/>
        <w:rPr>
          <w:rFonts w:ascii="Arial" w:eastAsia="Times New Roman" w:hAnsi="Arial" w:cs="Arial"/>
          <w:szCs w:val="20"/>
          <w:lang w:eastAsia="en-GB"/>
        </w:rPr>
      </w:pPr>
      <w:r w:rsidRPr="00507C12">
        <w:rPr>
          <w:rFonts w:ascii="Arial" w:eastAsia="Times New Roman" w:hAnsi="Arial" w:cs="Arial"/>
          <w:szCs w:val="20"/>
          <w:lang w:eastAsia="en-GB"/>
        </w:rPr>
        <w:t>the Statement of Accounts is free from deliberate or systematic bias.  The financial analyses contained within the accounts are based on fact, and do not support any particular view point</w:t>
      </w:r>
    </w:p>
    <w:p w14:paraId="47CDAE4B" w14:textId="3A7FCA87" w:rsidR="00AF076B" w:rsidRPr="00AF076B" w:rsidRDefault="00AF076B" w:rsidP="00AF076B">
      <w:pPr>
        <w:spacing w:after="0"/>
        <w:rPr>
          <w:rFonts w:ascii="Arial" w:eastAsia="Times New Roman" w:hAnsi="Arial" w:cs="Arial"/>
          <w:szCs w:val="20"/>
          <w:lang w:eastAsia="en-GB"/>
        </w:rPr>
      </w:pPr>
    </w:p>
    <w:p w14:paraId="02FF8209" w14:textId="53896366" w:rsidR="0061572D" w:rsidRDefault="0061572D" w:rsidP="0061572D">
      <w:pPr>
        <w:pStyle w:val="ListParagraph"/>
        <w:numPr>
          <w:ilvl w:val="0"/>
          <w:numId w:val="22"/>
        </w:numPr>
        <w:spacing w:after="0"/>
        <w:rPr>
          <w:rFonts w:ascii="Arial" w:eastAsia="Times New Roman" w:hAnsi="Arial" w:cs="Arial"/>
          <w:szCs w:val="20"/>
          <w:lang w:eastAsia="en-GB"/>
        </w:rPr>
      </w:pPr>
      <w:r w:rsidRPr="00507C12">
        <w:rPr>
          <w:rFonts w:ascii="Arial" w:eastAsia="Times New Roman" w:hAnsi="Arial" w:cs="Arial"/>
          <w:szCs w:val="20"/>
          <w:lang w:eastAsia="en-GB"/>
        </w:rPr>
        <w:t>the Statement of Accounts are free from material error, containing no misstatement that would influence the conclusions of any user</w:t>
      </w:r>
    </w:p>
    <w:p w14:paraId="58B72F66" w14:textId="566E751F" w:rsidR="00AF076B" w:rsidRPr="00AF076B" w:rsidRDefault="00AF076B" w:rsidP="00AF076B">
      <w:pPr>
        <w:spacing w:after="0"/>
        <w:rPr>
          <w:rFonts w:ascii="Arial" w:eastAsia="Times New Roman" w:hAnsi="Arial" w:cs="Arial"/>
          <w:szCs w:val="20"/>
          <w:lang w:eastAsia="en-GB"/>
        </w:rPr>
      </w:pPr>
    </w:p>
    <w:p w14:paraId="1F2C4373" w14:textId="77777777" w:rsidR="0061572D" w:rsidRPr="00507C12" w:rsidRDefault="0061572D" w:rsidP="0061572D">
      <w:pPr>
        <w:pStyle w:val="ListParagraph"/>
        <w:numPr>
          <w:ilvl w:val="0"/>
          <w:numId w:val="22"/>
        </w:numPr>
        <w:spacing w:after="0"/>
        <w:rPr>
          <w:rFonts w:ascii="Arial" w:eastAsia="Times New Roman" w:hAnsi="Arial" w:cs="Arial"/>
          <w:szCs w:val="20"/>
          <w:lang w:eastAsia="en-GB"/>
        </w:rPr>
      </w:pPr>
      <w:r w:rsidRPr="00507C12">
        <w:rPr>
          <w:rFonts w:ascii="Arial" w:eastAsia="Times New Roman" w:hAnsi="Arial" w:cs="Arial"/>
          <w:szCs w:val="20"/>
          <w:lang w:eastAsia="en-GB"/>
        </w:rPr>
        <w:t>the Statement of Accounts have been produced within the bounds of materiality, meaning that nothing has been omitted that may have assisted users in gaining an understanding of the Council’s activities</w:t>
      </w:r>
    </w:p>
    <w:p w14:paraId="002464C1" w14:textId="77777777" w:rsidR="0061572D" w:rsidRPr="00507C12" w:rsidRDefault="0061572D" w:rsidP="0061572D">
      <w:pPr>
        <w:spacing w:after="0"/>
        <w:rPr>
          <w:rFonts w:ascii="Arial" w:eastAsia="Times New Roman" w:hAnsi="Arial" w:cs="Arial"/>
          <w:szCs w:val="20"/>
          <w:lang w:eastAsia="en-GB"/>
        </w:rPr>
      </w:pPr>
    </w:p>
    <w:p w14:paraId="0F39FFA8"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Where uncertainty exists, the statements have been prepared prudently and caution has been applied with exercising judgement and making necessary estimates.</w:t>
      </w:r>
    </w:p>
    <w:p w14:paraId="3F1184B5" w14:textId="77777777" w:rsidR="0061572D" w:rsidRPr="00507C12" w:rsidRDefault="0061572D" w:rsidP="0061572D">
      <w:pPr>
        <w:spacing w:after="0"/>
        <w:rPr>
          <w:rFonts w:ascii="Arial" w:eastAsia="Times New Roman" w:hAnsi="Arial" w:cs="Arial"/>
          <w:b/>
          <w:bCs/>
          <w:szCs w:val="20"/>
          <w:lang w:eastAsia="en-GB"/>
        </w:rPr>
      </w:pPr>
    </w:p>
    <w:p w14:paraId="1E1CF033"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szCs w:val="20"/>
          <w:lang w:eastAsia="en-GB"/>
        </w:rPr>
        <w:t xml:space="preserve">This is an important mechanism for ensuring the usefulness of financial information and is an essential element of the best value accounting framework.  The Code assists comparability in many areas by making particular accounting policies mandatory. </w:t>
      </w:r>
    </w:p>
    <w:p w14:paraId="5737956A" w14:textId="77777777" w:rsidR="0061572D" w:rsidRPr="00507C12" w:rsidRDefault="0061572D" w:rsidP="0061572D">
      <w:pPr>
        <w:spacing w:after="0"/>
        <w:rPr>
          <w:rFonts w:ascii="Arial" w:eastAsia="Times New Roman" w:hAnsi="Arial" w:cs="Arial"/>
          <w:szCs w:val="20"/>
          <w:lang w:eastAsia="en-GB"/>
        </w:rPr>
      </w:pPr>
    </w:p>
    <w:p w14:paraId="0A6BE8E4"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b/>
          <w:bCs/>
          <w:szCs w:val="20"/>
          <w:lang w:eastAsia="en-GB"/>
        </w:rPr>
        <w:t xml:space="preserve">Understandability - </w:t>
      </w:r>
      <w:r w:rsidRPr="00507C12">
        <w:rPr>
          <w:rFonts w:ascii="Arial" w:eastAsia="Times New Roman" w:hAnsi="Arial" w:cs="Arial"/>
          <w:szCs w:val="20"/>
          <w:lang w:eastAsia="en-GB"/>
        </w:rPr>
        <w:t>The accounting principles of the Code includes accounting concepts, treatments and terminology which require reasonable knowledge of accounting and local government and reasonable diligence in reading the Statement of Accounts if they are to be properly understood. However all reasonable efforts have been taken in the preparation of the Statement of Accounts to ensure they are as easy to understand as possible.</w:t>
      </w:r>
    </w:p>
    <w:p w14:paraId="68D21D16" w14:textId="77777777" w:rsidR="0061572D" w:rsidRPr="00507C12" w:rsidRDefault="0061572D" w:rsidP="0061572D">
      <w:pPr>
        <w:spacing w:after="0"/>
        <w:rPr>
          <w:rFonts w:ascii="Arial" w:eastAsia="Times New Roman" w:hAnsi="Arial" w:cs="Arial"/>
          <w:szCs w:val="20"/>
          <w:lang w:eastAsia="en-GB"/>
        </w:rPr>
      </w:pPr>
    </w:p>
    <w:p w14:paraId="5FB2BFEA" w14:textId="77777777" w:rsidR="0061572D" w:rsidRPr="00507C12" w:rsidRDefault="0061572D" w:rsidP="0061572D">
      <w:pPr>
        <w:spacing w:after="0"/>
        <w:rPr>
          <w:rFonts w:ascii="Arial" w:eastAsia="Times New Roman" w:hAnsi="Arial" w:cs="Arial"/>
          <w:szCs w:val="20"/>
          <w:lang w:eastAsia="en-GB"/>
        </w:rPr>
      </w:pPr>
      <w:r w:rsidRPr="00507C12">
        <w:rPr>
          <w:rFonts w:ascii="Arial" w:eastAsia="Times New Roman" w:hAnsi="Arial" w:cs="Arial"/>
          <w:b/>
          <w:szCs w:val="20"/>
          <w:lang w:eastAsia="en-GB"/>
        </w:rPr>
        <w:t xml:space="preserve">Going Concern - </w:t>
      </w:r>
      <w:r w:rsidRPr="00507C12">
        <w:rPr>
          <w:rFonts w:ascii="Arial" w:eastAsia="Times New Roman" w:hAnsi="Arial" w:cs="Arial"/>
          <w:szCs w:val="20"/>
          <w:lang w:eastAsia="en-GB"/>
        </w:rPr>
        <w:t>This statement has been prepared on a</w:t>
      </w:r>
      <w:r w:rsidRPr="00507C12">
        <w:rPr>
          <w:rFonts w:ascii="Arial" w:eastAsia="Times New Roman" w:hAnsi="Arial" w:cs="Arial"/>
          <w:b/>
          <w:bCs/>
          <w:szCs w:val="20"/>
          <w:lang w:eastAsia="en-GB"/>
        </w:rPr>
        <w:t xml:space="preserve"> ‘going concern’ </w:t>
      </w:r>
      <w:r w:rsidRPr="00507C12">
        <w:rPr>
          <w:rFonts w:ascii="Arial" w:eastAsia="Times New Roman" w:hAnsi="Arial" w:cs="Arial"/>
          <w:szCs w:val="20"/>
          <w:lang w:eastAsia="en-GB"/>
        </w:rPr>
        <w:t>basis, under the assumption that the Council will continue to exist and operate on its current basis for the foreseeable future.</w:t>
      </w:r>
    </w:p>
    <w:p w14:paraId="67795590" w14:textId="77777777" w:rsidR="0061572D" w:rsidRPr="00507C12" w:rsidRDefault="0061572D" w:rsidP="0061572D">
      <w:pPr>
        <w:spacing w:after="0"/>
        <w:rPr>
          <w:rFonts w:ascii="Arial" w:eastAsia="Times New Roman" w:hAnsi="Arial" w:cs="Arial"/>
          <w:b/>
          <w:bCs/>
          <w:szCs w:val="20"/>
          <w:lang w:eastAsia="en-GB"/>
        </w:rPr>
      </w:pPr>
    </w:p>
    <w:p w14:paraId="34D4622F" w14:textId="2E79E0F2" w:rsidR="00370F11" w:rsidRDefault="0061572D" w:rsidP="0061572D">
      <w:r w:rsidRPr="00507C12">
        <w:rPr>
          <w:rFonts w:ascii="Arial" w:eastAsia="Times New Roman" w:hAnsi="Arial" w:cs="Arial"/>
          <w:b/>
          <w:bCs/>
          <w:szCs w:val="20"/>
          <w:lang w:eastAsia="en-GB"/>
        </w:rPr>
        <w:t xml:space="preserve">Primacy of Legislative Requirements - </w:t>
      </w:r>
      <w:r w:rsidRPr="00507C12">
        <w:rPr>
          <w:rFonts w:ascii="Arial" w:eastAsia="Times New Roman" w:hAnsi="Arial" w:cs="Arial"/>
          <w:szCs w:val="20"/>
          <w:lang w:eastAsia="en-GB"/>
        </w:rPr>
        <w:t>Local authorities derive their powers from statute and their financial and accounting framework is closely controlled by primary and secondary legislation.  To the extent that treatments are prescribed by law the accounting concepts outlined above may not apply in all cases.  It is a fundamental principle of local authority accounting that, where specific legislative requirements and accounting principles conflict, legislative requirements shall apply.</w:t>
      </w:r>
    </w:p>
    <w:sectPr w:rsidR="00370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Lola">
    <w:altName w:val="FS Lol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4A2"/>
    <w:multiLevelType w:val="hybridMultilevel"/>
    <w:tmpl w:val="E49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22DFD"/>
    <w:multiLevelType w:val="hybridMultilevel"/>
    <w:tmpl w:val="0D22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30462"/>
    <w:multiLevelType w:val="hybridMultilevel"/>
    <w:tmpl w:val="BB3A1F1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71CD0"/>
    <w:multiLevelType w:val="hybridMultilevel"/>
    <w:tmpl w:val="C66A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93BBF"/>
    <w:multiLevelType w:val="hybridMultilevel"/>
    <w:tmpl w:val="9CD6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00DFB"/>
    <w:multiLevelType w:val="hybridMultilevel"/>
    <w:tmpl w:val="09BE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6011A"/>
    <w:multiLevelType w:val="hybridMultilevel"/>
    <w:tmpl w:val="4B3ED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71590"/>
    <w:multiLevelType w:val="hybridMultilevel"/>
    <w:tmpl w:val="C294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7477F"/>
    <w:multiLevelType w:val="hybridMultilevel"/>
    <w:tmpl w:val="57ACE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E4F4F"/>
    <w:multiLevelType w:val="hybridMultilevel"/>
    <w:tmpl w:val="936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F1C26"/>
    <w:multiLevelType w:val="hybridMultilevel"/>
    <w:tmpl w:val="178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91C9B"/>
    <w:multiLevelType w:val="hybridMultilevel"/>
    <w:tmpl w:val="2DD0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55775"/>
    <w:multiLevelType w:val="hybridMultilevel"/>
    <w:tmpl w:val="F5F6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15F2D"/>
    <w:multiLevelType w:val="hybridMultilevel"/>
    <w:tmpl w:val="2B70C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4C1E99"/>
    <w:multiLevelType w:val="hybridMultilevel"/>
    <w:tmpl w:val="3202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E5A82"/>
    <w:multiLevelType w:val="hybridMultilevel"/>
    <w:tmpl w:val="E7C29C6A"/>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377769"/>
    <w:multiLevelType w:val="hybridMultilevel"/>
    <w:tmpl w:val="7840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18A"/>
    <w:multiLevelType w:val="hybridMultilevel"/>
    <w:tmpl w:val="773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07E30"/>
    <w:multiLevelType w:val="hybridMultilevel"/>
    <w:tmpl w:val="A668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E1E7C"/>
    <w:multiLevelType w:val="hybridMultilevel"/>
    <w:tmpl w:val="74E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A0B46"/>
    <w:multiLevelType w:val="hybridMultilevel"/>
    <w:tmpl w:val="6036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C10B5"/>
    <w:multiLevelType w:val="hybridMultilevel"/>
    <w:tmpl w:val="73E2FFEA"/>
    <w:lvl w:ilvl="0" w:tplc="5434C9F8">
      <w:start w:val="1"/>
      <w:numFmt w:val="decimal"/>
      <w:lvlText w:val="%1."/>
      <w:lvlJc w:val="left"/>
      <w:pPr>
        <w:ind w:left="360" w:hanging="360"/>
      </w:pPr>
      <w:rPr>
        <w:b/>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8"/>
  </w:num>
  <w:num w:numId="2">
    <w:abstractNumId w:val="6"/>
  </w:num>
  <w:num w:numId="3">
    <w:abstractNumId w:val="2"/>
  </w:num>
  <w:num w:numId="4">
    <w:abstractNumId w:val="15"/>
  </w:num>
  <w:num w:numId="5">
    <w:abstractNumId w:val="21"/>
  </w:num>
  <w:num w:numId="6">
    <w:abstractNumId w:val="14"/>
  </w:num>
  <w:num w:numId="7">
    <w:abstractNumId w:val="19"/>
  </w:num>
  <w:num w:numId="8">
    <w:abstractNumId w:val="4"/>
  </w:num>
  <w:num w:numId="9">
    <w:abstractNumId w:val="9"/>
  </w:num>
  <w:num w:numId="10">
    <w:abstractNumId w:val="3"/>
  </w:num>
  <w:num w:numId="11">
    <w:abstractNumId w:val="11"/>
  </w:num>
  <w:num w:numId="12">
    <w:abstractNumId w:val="10"/>
  </w:num>
  <w:num w:numId="13">
    <w:abstractNumId w:val="12"/>
  </w:num>
  <w:num w:numId="14">
    <w:abstractNumId w:val="18"/>
  </w:num>
  <w:num w:numId="15">
    <w:abstractNumId w:val="13"/>
  </w:num>
  <w:num w:numId="16">
    <w:abstractNumId w:val="20"/>
  </w:num>
  <w:num w:numId="17">
    <w:abstractNumId w:val="1"/>
  </w:num>
  <w:num w:numId="18">
    <w:abstractNumId w:val="7"/>
  </w:num>
  <w:num w:numId="19">
    <w:abstractNumId w:val="5"/>
  </w:num>
  <w:num w:numId="20">
    <w:abstractNumId w:val="17"/>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2D"/>
    <w:rsid w:val="00010AB2"/>
    <w:rsid w:val="0007631C"/>
    <w:rsid w:val="001734D7"/>
    <w:rsid w:val="002574B3"/>
    <w:rsid w:val="002A4E89"/>
    <w:rsid w:val="003365AC"/>
    <w:rsid w:val="004722FB"/>
    <w:rsid w:val="004856D5"/>
    <w:rsid w:val="004D109B"/>
    <w:rsid w:val="004D1200"/>
    <w:rsid w:val="004F0031"/>
    <w:rsid w:val="00537767"/>
    <w:rsid w:val="005501E2"/>
    <w:rsid w:val="0061572D"/>
    <w:rsid w:val="006A09A0"/>
    <w:rsid w:val="006C1C5F"/>
    <w:rsid w:val="006C5BB8"/>
    <w:rsid w:val="007714A4"/>
    <w:rsid w:val="007C22CD"/>
    <w:rsid w:val="007E4DB2"/>
    <w:rsid w:val="007F5F7B"/>
    <w:rsid w:val="00882CF1"/>
    <w:rsid w:val="008C5894"/>
    <w:rsid w:val="0094742F"/>
    <w:rsid w:val="009B7B60"/>
    <w:rsid w:val="009C2B97"/>
    <w:rsid w:val="009E709E"/>
    <w:rsid w:val="009F6113"/>
    <w:rsid w:val="00A07AED"/>
    <w:rsid w:val="00A4050C"/>
    <w:rsid w:val="00AF076B"/>
    <w:rsid w:val="00B2632D"/>
    <w:rsid w:val="00B825C1"/>
    <w:rsid w:val="00BA3A23"/>
    <w:rsid w:val="00BA66D1"/>
    <w:rsid w:val="00BB76A0"/>
    <w:rsid w:val="00C17C6D"/>
    <w:rsid w:val="00C333CB"/>
    <w:rsid w:val="00CF673E"/>
    <w:rsid w:val="00D42242"/>
    <w:rsid w:val="00DA5F54"/>
    <w:rsid w:val="00DE1C11"/>
    <w:rsid w:val="00F255DF"/>
    <w:rsid w:val="00F7213A"/>
    <w:rsid w:val="00FB6D5B"/>
    <w:rsid w:val="00FD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23BE"/>
  <w15:chartTrackingRefBased/>
  <w15:docId w15:val="{02EB03DD-D3D0-43C4-9D68-2DA9E8BD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72D"/>
    <w:pPr>
      <w:spacing w:after="200" w:line="16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2D"/>
    <w:pPr>
      <w:ind w:left="720"/>
      <w:contextualSpacing/>
    </w:pPr>
  </w:style>
  <w:style w:type="paragraph" w:customStyle="1" w:styleId="Default">
    <w:name w:val="Default"/>
    <w:rsid w:val="0061572D"/>
    <w:pPr>
      <w:autoSpaceDE w:val="0"/>
      <w:autoSpaceDN w:val="0"/>
      <w:adjustRightInd w:val="0"/>
      <w:spacing w:after="0" w:line="240" w:lineRule="auto"/>
      <w:jc w:val="both"/>
    </w:pPr>
    <w:rPr>
      <w:rFonts w:ascii="Verdana" w:eastAsia="Times New Roman" w:hAnsi="Verdana" w:cs="Verdana"/>
      <w:color w:val="000000"/>
      <w:sz w:val="24"/>
      <w:szCs w:val="24"/>
      <w:lang w:eastAsia="en-GB"/>
    </w:rPr>
  </w:style>
  <w:style w:type="character" w:styleId="CommentReference">
    <w:name w:val="annotation reference"/>
    <w:basedOn w:val="DefaultParagraphFont"/>
    <w:uiPriority w:val="99"/>
    <w:rsid w:val="0061572D"/>
    <w:rPr>
      <w:sz w:val="16"/>
      <w:szCs w:val="16"/>
    </w:rPr>
  </w:style>
  <w:style w:type="paragraph" w:styleId="CommentText">
    <w:name w:val="annotation text"/>
    <w:basedOn w:val="Normal"/>
    <w:link w:val="CommentTextChar"/>
    <w:uiPriority w:val="99"/>
    <w:rsid w:val="0061572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61572D"/>
    <w:rPr>
      <w:rFonts w:ascii="Times New Roman" w:eastAsia="Times New Roman" w:hAnsi="Times New Roman" w:cs="Times New Roman"/>
      <w:sz w:val="20"/>
      <w:szCs w:val="20"/>
      <w:lang w:eastAsia="en-GB"/>
    </w:rPr>
  </w:style>
  <w:style w:type="table" w:customStyle="1" w:styleId="TableGrid11">
    <w:name w:val="Table Grid11"/>
    <w:basedOn w:val="TableNormal"/>
    <w:next w:val="TableGrid"/>
    <w:uiPriority w:val="59"/>
    <w:rsid w:val="0061572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72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572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4">
    <w:name w:val="A14"/>
    <w:uiPriority w:val="99"/>
    <w:rsid w:val="0061572D"/>
    <w:rPr>
      <w:rFonts w:cs="FS Lola"/>
      <w:b/>
      <w:bCs/>
      <w:color w:val="000000"/>
      <w:sz w:val="16"/>
      <w:szCs w:val="16"/>
    </w:rPr>
  </w:style>
  <w:style w:type="paragraph" w:customStyle="1" w:styleId="Pa25">
    <w:name w:val="Pa25"/>
    <w:basedOn w:val="Default"/>
    <w:next w:val="Default"/>
    <w:uiPriority w:val="99"/>
    <w:rsid w:val="0061572D"/>
    <w:pPr>
      <w:spacing w:line="231" w:lineRule="atLeast"/>
    </w:pPr>
    <w:rPr>
      <w:rFonts w:ascii="FS Lola" w:eastAsiaTheme="minorHAnsi" w:hAnsi="FS Lola" w:cstheme="minorBidi"/>
      <w:color w:val="auto"/>
      <w:lang w:eastAsia="en-US"/>
    </w:rPr>
  </w:style>
  <w:style w:type="character" w:customStyle="1" w:styleId="A4">
    <w:name w:val="A4"/>
    <w:uiPriority w:val="99"/>
    <w:rsid w:val="0061572D"/>
    <w:rPr>
      <w:rFonts w:cs="FS Lola"/>
      <w:color w:val="000000"/>
      <w:sz w:val="23"/>
      <w:szCs w:val="23"/>
    </w:rPr>
  </w:style>
  <w:style w:type="paragraph" w:customStyle="1" w:styleId="Pa10">
    <w:name w:val="Pa10"/>
    <w:basedOn w:val="Default"/>
    <w:next w:val="Default"/>
    <w:uiPriority w:val="99"/>
    <w:rsid w:val="0061572D"/>
    <w:pPr>
      <w:spacing w:line="231" w:lineRule="atLeast"/>
    </w:pPr>
    <w:rPr>
      <w:rFonts w:ascii="FS Lola" w:eastAsiaTheme="minorHAnsi" w:hAnsi="FS Lola" w:cstheme="minorBidi"/>
      <w:color w:val="auto"/>
      <w:lang w:eastAsia="en-US"/>
    </w:rPr>
  </w:style>
  <w:style w:type="paragraph" w:customStyle="1" w:styleId="Pa14">
    <w:name w:val="Pa14"/>
    <w:basedOn w:val="Default"/>
    <w:next w:val="Default"/>
    <w:uiPriority w:val="99"/>
    <w:rsid w:val="0061572D"/>
    <w:pPr>
      <w:spacing w:line="281" w:lineRule="atLeast"/>
    </w:pPr>
    <w:rPr>
      <w:rFonts w:ascii="FS Lola" w:eastAsiaTheme="minorHAnsi" w:hAnsi="FS Lola" w:cstheme="minorBidi"/>
      <w:color w:val="auto"/>
      <w:lang w:eastAsia="en-US"/>
    </w:rPr>
  </w:style>
  <w:style w:type="paragraph" w:customStyle="1" w:styleId="Pa11">
    <w:name w:val="Pa11"/>
    <w:basedOn w:val="Default"/>
    <w:next w:val="Default"/>
    <w:uiPriority w:val="99"/>
    <w:rsid w:val="0061572D"/>
    <w:pPr>
      <w:spacing w:line="231" w:lineRule="atLeast"/>
    </w:pPr>
    <w:rPr>
      <w:rFonts w:ascii="FS Lola" w:eastAsiaTheme="minorHAnsi" w:hAnsi="FS Lola" w:cstheme="minorBidi"/>
      <w:color w:val="auto"/>
      <w:lang w:eastAsia="en-US"/>
    </w:rPr>
  </w:style>
  <w:style w:type="table" w:styleId="TableGrid">
    <w:name w:val="Table Grid"/>
    <w:basedOn w:val="TableNormal"/>
    <w:uiPriority w:val="39"/>
    <w:rsid w:val="0061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6D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A66D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DFB0-797A-4980-B8D2-41F769DD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8320</Words>
  <Characters>47426</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Cable</dc:creator>
  <cp:keywords/>
  <dc:description/>
  <cp:lastModifiedBy>Gabriella Wright</cp:lastModifiedBy>
  <cp:revision>2</cp:revision>
  <dcterms:created xsi:type="dcterms:W3CDTF">2022-03-23T08:56:00Z</dcterms:created>
  <dcterms:modified xsi:type="dcterms:W3CDTF">2022-03-23T08:56:00Z</dcterms:modified>
</cp:coreProperties>
</file>